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515E" w14:textId="5A810D72" w:rsidR="0090545D" w:rsidRPr="00A03961" w:rsidRDefault="0090545D" w:rsidP="007D4FEE">
      <w:pPr>
        <w:ind w:left="-450"/>
        <w:outlineLvl w:val="0"/>
        <w:rPr>
          <w:rFonts w:ascii="Arial" w:hAnsi="Arial" w:cs="Arial"/>
          <w:b/>
          <w:color w:val="4472C4" w:themeColor="accent1"/>
          <w:sz w:val="22"/>
          <w:szCs w:val="22"/>
        </w:rPr>
      </w:pPr>
      <w:r w:rsidRPr="008E277A">
        <w:rPr>
          <w:rFonts w:ascii="Arial" w:hAnsi="Arial" w:cs="Arial"/>
          <w:b/>
          <w:sz w:val="22"/>
          <w:szCs w:val="22"/>
        </w:rPr>
        <w:t>Study</w:t>
      </w:r>
      <w:r w:rsidR="00A93B0E" w:rsidRPr="008E277A">
        <w:rPr>
          <w:rFonts w:ascii="Arial" w:hAnsi="Arial" w:cs="Arial"/>
          <w:b/>
          <w:sz w:val="22"/>
          <w:szCs w:val="22"/>
        </w:rPr>
        <w:t>/Product</w:t>
      </w:r>
      <w:r w:rsidRPr="008E277A">
        <w:rPr>
          <w:rFonts w:ascii="Arial" w:hAnsi="Arial" w:cs="Arial"/>
          <w:b/>
          <w:sz w:val="22"/>
          <w:szCs w:val="22"/>
        </w:rPr>
        <w:t>:</w:t>
      </w:r>
      <w:r w:rsidR="00FC7870" w:rsidRPr="008E277A">
        <w:rPr>
          <w:sz w:val="22"/>
          <w:szCs w:val="22"/>
        </w:rPr>
        <w:t xml:space="preserve"> </w:t>
      </w:r>
      <w:r w:rsidR="00A03961" w:rsidRPr="00A03961">
        <w:rPr>
          <w:rFonts w:ascii="Arial" w:hAnsi="Arial" w:cs="Arial"/>
          <w:color w:val="4472C4" w:themeColor="accent1"/>
          <w:sz w:val="22"/>
          <w:szCs w:val="22"/>
        </w:rPr>
        <w:t>[</w:t>
      </w:r>
      <w:r w:rsidR="00A03961" w:rsidRPr="00A03961">
        <w:rPr>
          <w:rFonts w:ascii="Arial" w:hAnsi="Arial" w:cs="Arial"/>
          <w:bCs/>
          <w:color w:val="4472C4" w:themeColor="accent1"/>
          <w:sz w:val="22"/>
          <w:szCs w:val="22"/>
        </w:rPr>
        <w:t>Name of your study/product</w:t>
      </w:r>
      <w:r w:rsidR="00A03961" w:rsidRPr="00A03961">
        <w:rPr>
          <w:rFonts w:ascii="Arial" w:hAnsi="Arial" w:cs="Arial"/>
          <w:color w:val="4472C4" w:themeColor="accent1"/>
          <w:sz w:val="22"/>
          <w:szCs w:val="22"/>
        </w:rPr>
        <w:t>]</w:t>
      </w:r>
    </w:p>
    <w:p w14:paraId="2A4AB9CE" w14:textId="74EE1844" w:rsidR="00BE0D8D" w:rsidRPr="0021337A" w:rsidRDefault="00CD2C18" w:rsidP="007D4FEE">
      <w:pPr>
        <w:ind w:left="-450"/>
        <w:outlineLvl w:val="0"/>
        <w:rPr>
          <w:rFonts w:ascii="Arial" w:hAnsi="Arial" w:cs="Arial"/>
          <w:bCs/>
          <w:i/>
          <w:iCs/>
          <w:color w:val="833C0B" w:themeColor="accent2" w:themeShade="80"/>
          <w:sz w:val="22"/>
          <w:szCs w:val="22"/>
        </w:rPr>
      </w:pPr>
      <w:r w:rsidRPr="008E277A">
        <w:rPr>
          <w:rFonts w:ascii="Arial" w:hAnsi="Arial" w:cs="Arial"/>
          <w:b/>
          <w:sz w:val="22"/>
          <w:szCs w:val="22"/>
        </w:rPr>
        <w:t>Storyboard</w:t>
      </w:r>
      <w:r w:rsidR="00B513B3" w:rsidRPr="008E277A">
        <w:rPr>
          <w:rFonts w:ascii="Arial" w:hAnsi="Arial" w:cs="Arial"/>
          <w:b/>
          <w:sz w:val="22"/>
          <w:szCs w:val="22"/>
        </w:rPr>
        <w:t>:</w:t>
      </w:r>
      <w:r w:rsidRPr="008E277A">
        <w:rPr>
          <w:rFonts w:ascii="Arial" w:hAnsi="Arial" w:cs="Arial"/>
          <w:b/>
          <w:sz w:val="22"/>
          <w:szCs w:val="22"/>
        </w:rPr>
        <w:t xml:space="preserve"> </w:t>
      </w:r>
      <w:r w:rsidR="00A03961" w:rsidRPr="00A03961">
        <w:rPr>
          <w:rFonts w:ascii="Arial" w:hAnsi="Arial" w:cs="Arial"/>
          <w:bCs/>
          <w:color w:val="4472C4" w:themeColor="accent1"/>
          <w:sz w:val="22"/>
          <w:szCs w:val="22"/>
        </w:rPr>
        <w:t>[T</w:t>
      </w:r>
      <w:r w:rsidR="00D85D8D" w:rsidRPr="00A03961">
        <w:rPr>
          <w:rFonts w:ascii="Arial" w:hAnsi="Arial" w:cs="Arial"/>
          <w:bCs/>
          <w:color w:val="4472C4" w:themeColor="accent1"/>
          <w:sz w:val="22"/>
          <w:szCs w:val="22"/>
        </w:rPr>
        <w:t xml:space="preserve">itle of </w:t>
      </w:r>
      <w:r w:rsidR="00A03961" w:rsidRPr="00A03961">
        <w:rPr>
          <w:rFonts w:ascii="Arial" w:hAnsi="Arial" w:cs="Arial"/>
          <w:bCs/>
          <w:color w:val="4472C4" w:themeColor="accent1"/>
          <w:sz w:val="22"/>
          <w:szCs w:val="22"/>
        </w:rPr>
        <w:t>i</w:t>
      </w:r>
      <w:r w:rsidR="00D85D8D" w:rsidRPr="00A03961">
        <w:rPr>
          <w:rFonts w:ascii="Arial" w:hAnsi="Arial" w:cs="Arial"/>
          <w:bCs/>
          <w:color w:val="4472C4" w:themeColor="accent1"/>
          <w:sz w:val="22"/>
          <w:szCs w:val="22"/>
        </w:rPr>
        <w:t>ssue</w:t>
      </w:r>
      <w:r w:rsidR="00F43E8A" w:rsidRPr="00A03961">
        <w:rPr>
          <w:rFonts w:ascii="Arial" w:hAnsi="Arial" w:cs="Arial"/>
          <w:bCs/>
          <w:color w:val="4472C4" w:themeColor="accent1"/>
          <w:sz w:val="22"/>
          <w:szCs w:val="22"/>
        </w:rPr>
        <w:t xml:space="preserve"> (ensure that title clearly reflects </w:t>
      </w:r>
      <w:r w:rsidR="00410D94" w:rsidRPr="00A03961">
        <w:rPr>
          <w:rFonts w:ascii="Arial" w:hAnsi="Arial" w:cs="Arial"/>
          <w:bCs/>
          <w:color w:val="4472C4" w:themeColor="accent1"/>
          <w:sz w:val="22"/>
          <w:szCs w:val="22"/>
        </w:rPr>
        <w:t xml:space="preserve">the </w:t>
      </w:r>
      <w:r w:rsidR="00F43E8A" w:rsidRPr="00A03961">
        <w:rPr>
          <w:rFonts w:ascii="Arial" w:hAnsi="Arial" w:cs="Arial"/>
          <w:bCs/>
          <w:color w:val="4472C4" w:themeColor="accent1"/>
          <w:sz w:val="22"/>
          <w:szCs w:val="22"/>
        </w:rPr>
        <w:t xml:space="preserve">topic </w:t>
      </w:r>
      <w:r w:rsidR="008900C0" w:rsidRPr="00A03961">
        <w:rPr>
          <w:rFonts w:ascii="Arial" w:hAnsi="Arial" w:cs="Arial"/>
          <w:bCs/>
          <w:color w:val="4472C4" w:themeColor="accent1"/>
          <w:sz w:val="22"/>
          <w:szCs w:val="22"/>
        </w:rPr>
        <w:t xml:space="preserve">for ease of identification during </w:t>
      </w:r>
      <w:r w:rsidR="007609F2" w:rsidRPr="00A03961">
        <w:rPr>
          <w:rFonts w:ascii="Arial" w:hAnsi="Arial" w:cs="Arial"/>
          <w:bCs/>
          <w:color w:val="4472C4" w:themeColor="accent1"/>
          <w:sz w:val="22"/>
          <w:szCs w:val="22"/>
        </w:rPr>
        <w:t>inspection)</w:t>
      </w:r>
      <w:r w:rsidR="000D66F6">
        <w:rPr>
          <w:rFonts w:ascii="Arial" w:hAnsi="Arial" w:cs="Arial"/>
          <w:bCs/>
          <w:color w:val="4472C4" w:themeColor="accent1"/>
          <w:sz w:val="22"/>
          <w:szCs w:val="22"/>
        </w:rPr>
        <w:t>]</w:t>
      </w:r>
      <w:r w:rsidR="007609F2">
        <w:rPr>
          <w:rFonts w:ascii="Arial" w:hAnsi="Arial" w:cs="Arial"/>
          <w:bCs/>
          <w:i/>
          <w:iCs/>
          <w:color w:val="4472C4" w:themeColor="accent1"/>
          <w:sz w:val="22"/>
          <w:szCs w:val="22"/>
        </w:rPr>
        <w:t xml:space="preserve"> </w:t>
      </w:r>
      <w:r w:rsidR="007609F2" w:rsidRPr="00A03961">
        <w:rPr>
          <w:rFonts w:ascii="Arial" w:hAnsi="Arial" w:cs="Arial"/>
          <w:bCs/>
          <w:i/>
          <w:iCs/>
          <w:color w:val="833C0B" w:themeColor="accent2" w:themeShade="80"/>
          <w:sz w:val="22"/>
          <w:szCs w:val="22"/>
        </w:rPr>
        <w:t>Example</w:t>
      </w:r>
      <w:r w:rsidR="003E123A" w:rsidRPr="00A03961">
        <w:rPr>
          <w:rFonts w:ascii="Arial" w:hAnsi="Arial" w:cs="Arial"/>
          <w:bCs/>
          <w:i/>
          <w:iCs/>
          <w:color w:val="833C0B" w:themeColor="accent2" w:themeShade="80"/>
          <w:sz w:val="22"/>
          <w:szCs w:val="22"/>
        </w:rPr>
        <w:t xml:space="preserve">: </w:t>
      </w:r>
      <w:r w:rsidR="00556E2A" w:rsidRPr="00A03961">
        <w:rPr>
          <w:rFonts w:ascii="Arial" w:hAnsi="Arial" w:cs="Arial"/>
          <w:bCs/>
          <w:color w:val="833C0B" w:themeColor="accent2" w:themeShade="80"/>
          <w:sz w:val="22"/>
          <w:szCs w:val="22"/>
        </w:rPr>
        <w:t xml:space="preserve">Six </w:t>
      </w:r>
      <w:r w:rsidR="003E123A" w:rsidRPr="00A03961">
        <w:rPr>
          <w:rFonts w:ascii="Arial" w:hAnsi="Arial" w:cs="Arial"/>
          <w:bCs/>
          <w:color w:val="833C0B" w:themeColor="accent2" w:themeShade="80"/>
          <w:sz w:val="22"/>
          <w:szCs w:val="22"/>
        </w:rPr>
        <w:t xml:space="preserve">Monitoring Visit Reports </w:t>
      </w:r>
      <w:r w:rsidR="00556E2A" w:rsidRPr="00A03961">
        <w:rPr>
          <w:rFonts w:ascii="Arial" w:hAnsi="Arial" w:cs="Arial"/>
          <w:bCs/>
          <w:color w:val="833C0B" w:themeColor="accent2" w:themeShade="80"/>
          <w:sz w:val="22"/>
          <w:szCs w:val="22"/>
        </w:rPr>
        <w:t xml:space="preserve">Written in </w:t>
      </w:r>
      <w:r w:rsidR="0021337A" w:rsidRPr="00A03961">
        <w:rPr>
          <w:rFonts w:ascii="Arial" w:hAnsi="Arial" w:cs="Arial"/>
          <w:bCs/>
          <w:color w:val="833C0B" w:themeColor="accent2" w:themeShade="80"/>
          <w:sz w:val="22"/>
          <w:szCs w:val="22"/>
        </w:rPr>
        <w:t>Pencil</w:t>
      </w:r>
    </w:p>
    <w:p w14:paraId="6E424CDE" w14:textId="008BDCA9" w:rsidR="007D4FEE" w:rsidRPr="0021337A" w:rsidRDefault="007D4FEE" w:rsidP="001744C8">
      <w:pPr>
        <w:outlineLvl w:val="0"/>
        <w:rPr>
          <w:rFonts w:ascii="Arial" w:hAnsi="Arial" w:cs="Arial"/>
          <w:bCs/>
          <w:i/>
          <w:iCs/>
          <w:color w:val="833C0B" w:themeColor="accent2" w:themeShade="80"/>
          <w:sz w:val="22"/>
          <w:szCs w:val="22"/>
        </w:rPr>
      </w:pPr>
    </w:p>
    <w:p w14:paraId="109CE430" w14:textId="21910263" w:rsidR="007D4FEE" w:rsidRDefault="00737B94" w:rsidP="008855BC">
      <w:pPr>
        <w:ind w:left="-450"/>
        <w:outlineLvl w:val="0"/>
        <w:rPr>
          <w:rFonts w:ascii="Arial" w:hAnsi="Arial" w:cs="Arial"/>
          <w:bCs/>
          <w:sz w:val="22"/>
          <w:szCs w:val="22"/>
        </w:rPr>
      </w:pPr>
      <w:r w:rsidRPr="00435E8E">
        <w:rPr>
          <w:rFonts w:ascii="Arial" w:hAnsi="Arial" w:cs="Arial"/>
          <w:bCs/>
          <w:sz w:val="22"/>
          <w:szCs w:val="22"/>
        </w:rPr>
        <w:t xml:space="preserve">The following top-level information is provided to ensure consistent </w:t>
      </w:r>
      <w:r w:rsidR="008900C0">
        <w:rPr>
          <w:rFonts w:ascii="Arial" w:hAnsi="Arial" w:cs="Arial"/>
          <w:bCs/>
          <w:sz w:val="22"/>
          <w:szCs w:val="22"/>
        </w:rPr>
        <w:t xml:space="preserve">internal </w:t>
      </w:r>
      <w:r w:rsidRPr="00435E8E">
        <w:rPr>
          <w:rFonts w:ascii="Arial" w:hAnsi="Arial" w:cs="Arial"/>
          <w:bCs/>
          <w:sz w:val="22"/>
          <w:szCs w:val="22"/>
        </w:rPr>
        <w:t xml:space="preserve">understanding and communication of </w:t>
      </w:r>
      <w:r w:rsidR="00CB69C6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CB69C6">
        <w:rPr>
          <w:rFonts w:ascii="Arial" w:hAnsi="Arial" w:cs="Arial"/>
          <w:bCs/>
          <w:sz w:val="22"/>
          <w:szCs w:val="22"/>
        </w:rPr>
        <w:t>GxP</w:t>
      </w:r>
      <w:proofErr w:type="spellEnd"/>
      <w:r w:rsidR="0063477D" w:rsidRPr="00435E8E">
        <w:rPr>
          <w:rFonts w:ascii="Arial" w:hAnsi="Arial" w:cs="Arial"/>
          <w:bCs/>
          <w:sz w:val="22"/>
          <w:szCs w:val="22"/>
        </w:rPr>
        <w:t xml:space="preserve"> issue that </w:t>
      </w:r>
      <w:r w:rsidR="00A03961" w:rsidRPr="00A03961">
        <w:rPr>
          <w:rFonts w:ascii="Arial" w:hAnsi="Arial" w:cs="Arial"/>
          <w:bCs/>
          <w:color w:val="4472C4" w:themeColor="accent1"/>
          <w:sz w:val="22"/>
          <w:szCs w:val="22"/>
        </w:rPr>
        <w:t>[your company name]</w:t>
      </w:r>
      <w:r w:rsidR="00CB69C6" w:rsidRPr="00435E8E">
        <w:rPr>
          <w:rFonts w:ascii="Arial" w:hAnsi="Arial" w:cs="Arial"/>
          <w:bCs/>
          <w:sz w:val="22"/>
          <w:szCs w:val="22"/>
        </w:rPr>
        <w:t xml:space="preserve"> </w:t>
      </w:r>
      <w:r w:rsidR="0063477D" w:rsidRPr="00435E8E">
        <w:rPr>
          <w:rFonts w:ascii="Arial" w:hAnsi="Arial" w:cs="Arial"/>
          <w:bCs/>
          <w:sz w:val="22"/>
          <w:szCs w:val="22"/>
        </w:rPr>
        <w:t>self-identified</w:t>
      </w:r>
      <w:r w:rsidR="003107B5">
        <w:rPr>
          <w:rFonts w:ascii="Arial" w:hAnsi="Arial" w:cs="Arial"/>
          <w:bCs/>
          <w:sz w:val="22"/>
          <w:szCs w:val="22"/>
        </w:rPr>
        <w:t xml:space="preserve"> and </w:t>
      </w:r>
      <w:r w:rsidR="00043AE8">
        <w:rPr>
          <w:rFonts w:ascii="Arial" w:hAnsi="Arial" w:cs="Arial"/>
          <w:bCs/>
          <w:sz w:val="22"/>
          <w:szCs w:val="22"/>
        </w:rPr>
        <w:t>the actions taken</w:t>
      </w:r>
      <w:r w:rsidR="00CA2A89">
        <w:rPr>
          <w:rFonts w:ascii="Arial" w:hAnsi="Arial" w:cs="Arial"/>
          <w:bCs/>
          <w:sz w:val="22"/>
          <w:szCs w:val="22"/>
        </w:rPr>
        <w:t xml:space="preserve"> to </w:t>
      </w:r>
      <w:r w:rsidR="003107B5">
        <w:rPr>
          <w:rFonts w:ascii="Arial" w:hAnsi="Arial" w:cs="Arial"/>
          <w:bCs/>
          <w:sz w:val="22"/>
          <w:szCs w:val="22"/>
        </w:rPr>
        <w:t>resol</w:t>
      </w:r>
      <w:r w:rsidR="00CA2A89">
        <w:rPr>
          <w:rFonts w:ascii="Arial" w:hAnsi="Arial" w:cs="Arial"/>
          <w:bCs/>
          <w:sz w:val="22"/>
          <w:szCs w:val="22"/>
        </w:rPr>
        <w:t>ve</w:t>
      </w:r>
      <w:r w:rsidR="00435E8E" w:rsidRPr="00435E8E">
        <w:rPr>
          <w:rFonts w:ascii="Arial" w:hAnsi="Arial" w:cs="Arial"/>
          <w:bCs/>
          <w:sz w:val="22"/>
          <w:szCs w:val="22"/>
        </w:rPr>
        <w:t xml:space="preserve"> and </w:t>
      </w:r>
      <w:r w:rsidR="00CA2A89">
        <w:rPr>
          <w:rFonts w:ascii="Arial" w:hAnsi="Arial" w:cs="Arial"/>
          <w:bCs/>
          <w:sz w:val="22"/>
          <w:szCs w:val="22"/>
        </w:rPr>
        <w:t>document</w:t>
      </w:r>
      <w:r w:rsidR="00043AE8">
        <w:rPr>
          <w:rFonts w:ascii="Arial" w:hAnsi="Arial" w:cs="Arial"/>
          <w:bCs/>
          <w:sz w:val="22"/>
          <w:szCs w:val="22"/>
        </w:rPr>
        <w:t xml:space="preserve"> both the issue and its resolution</w:t>
      </w:r>
      <w:r w:rsidR="00435E8E" w:rsidRPr="00435E8E">
        <w:rPr>
          <w:rFonts w:ascii="Arial" w:hAnsi="Arial" w:cs="Arial"/>
          <w:bCs/>
          <w:sz w:val="22"/>
          <w:szCs w:val="22"/>
        </w:rPr>
        <w:t>.</w:t>
      </w:r>
      <w:r w:rsidR="008855BC">
        <w:rPr>
          <w:rFonts w:ascii="Arial" w:hAnsi="Arial" w:cs="Arial"/>
          <w:bCs/>
          <w:sz w:val="22"/>
          <w:szCs w:val="22"/>
        </w:rPr>
        <w:t xml:space="preserve"> </w:t>
      </w:r>
      <w:r w:rsidR="002D239C" w:rsidRPr="002D239C">
        <w:rPr>
          <w:rFonts w:ascii="Arial" w:hAnsi="Arial" w:cs="Arial"/>
          <w:bCs/>
          <w:sz w:val="22"/>
          <w:szCs w:val="22"/>
        </w:rPr>
        <w:t xml:space="preserve">See attached additional </w:t>
      </w:r>
      <w:r w:rsidR="002D239C">
        <w:rPr>
          <w:rFonts w:ascii="Arial" w:hAnsi="Arial" w:cs="Arial"/>
          <w:bCs/>
          <w:sz w:val="22"/>
          <w:szCs w:val="22"/>
        </w:rPr>
        <w:t xml:space="preserve">detailed </w:t>
      </w:r>
      <w:r w:rsidR="002D239C" w:rsidRPr="002D239C">
        <w:rPr>
          <w:rFonts w:ascii="Arial" w:hAnsi="Arial" w:cs="Arial"/>
          <w:bCs/>
          <w:sz w:val="22"/>
          <w:szCs w:val="22"/>
        </w:rPr>
        <w:t>information, if required.</w:t>
      </w:r>
    </w:p>
    <w:p w14:paraId="0C8B59D1" w14:textId="77777777" w:rsidR="00F07D27" w:rsidRPr="00435E8E" w:rsidRDefault="00F07D27" w:rsidP="008855BC">
      <w:pPr>
        <w:ind w:left="-450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665"/>
        <w:gridCol w:w="5505"/>
      </w:tblGrid>
      <w:tr w:rsidR="00CD2C18" w14:paraId="4A4014FE" w14:textId="77777777" w:rsidTr="007D4FEE">
        <w:trPr>
          <w:trHeight w:val="4025"/>
        </w:trPr>
        <w:tc>
          <w:tcPr>
            <w:tcW w:w="4665" w:type="dxa"/>
          </w:tcPr>
          <w:p w14:paraId="69CBD729" w14:textId="04247F44" w:rsidR="00710175" w:rsidRDefault="00710175" w:rsidP="000B62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970">
              <w:rPr>
                <w:rFonts w:ascii="Arial" w:hAnsi="Arial" w:cs="Arial"/>
                <w:b/>
                <w:sz w:val="22"/>
                <w:szCs w:val="22"/>
              </w:rPr>
              <w:t>Issue Identification</w:t>
            </w:r>
            <w:r w:rsidR="00124FE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732F3A0" w14:textId="48B90323" w:rsidR="00124FEF" w:rsidRDefault="00124FEF" w:rsidP="000B6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A3086" w14:textId="2F761DD4" w:rsidR="00124FEF" w:rsidRPr="00A03961" w:rsidRDefault="00A03961" w:rsidP="000B626E">
            <w:pPr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[Include</w:t>
            </w:r>
            <w:r w:rsidR="00124FEF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a high-level positive message on how the company self-identified the issue and </w:t>
            </w:r>
            <w:r w:rsidR="0019124F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acted.</w:t>
            </w:r>
            <w:r w:rsidR="00124FEF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790BE7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Ensure that the issue is clearly stated</w:t>
            </w:r>
            <w:r w:rsidR="008E3193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;</w:t>
            </w:r>
            <w:r w:rsidR="00ED4510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8E3193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f</w:t>
            </w:r>
            <w:r w:rsidR="00ED4510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ocus on the root cause issue.</w:t>
            </w:r>
            <w:r w:rsidR="008929B9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8E3193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Include known dates or timeframes.</w:t>
            </w:r>
            <w:r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]</w:t>
            </w:r>
          </w:p>
          <w:p w14:paraId="040D0A54" w14:textId="0351E746" w:rsidR="0019124F" w:rsidRDefault="0019124F" w:rsidP="000B626E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2"/>
                <w:szCs w:val="22"/>
              </w:rPr>
            </w:pPr>
          </w:p>
          <w:p w14:paraId="78222917" w14:textId="492A9B3A" w:rsidR="0019124F" w:rsidRDefault="0019124F" w:rsidP="000B626E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2"/>
                <w:szCs w:val="22"/>
              </w:rPr>
            </w:pPr>
            <w:r w:rsidRPr="005C6EE3">
              <w:rPr>
                <w:rFonts w:ascii="Arial" w:hAnsi="Arial" w:cs="Arial"/>
                <w:bCs/>
                <w:i/>
                <w:iCs/>
                <w:color w:val="833C0B" w:themeColor="accent2" w:themeShade="80"/>
                <w:sz w:val="22"/>
                <w:szCs w:val="22"/>
              </w:rPr>
              <w:t>Example:</w:t>
            </w:r>
          </w:p>
          <w:p w14:paraId="0291DC16" w14:textId="30B4ED91" w:rsidR="0019124F" w:rsidRDefault="0019124F" w:rsidP="000B626E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2"/>
                <w:szCs w:val="22"/>
              </w:rPr>
            </w:pPr>
          </w:p>
          <w:p w14:paraId="6B94B1DC" w14:textId="2575AD02" w:rsidR="00351486" w:rsidRPr="00A03961" w:rsidRDefault="00C550ED" w:rsidP="000B626E">
            <w:pPr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</w:pPr>
            <w:r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 xml:space="preserve">On 27 April 2020, </w:t>
            </w:r>
            <w:r w:rsidR="00405191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 xml:space="preserve">ABC Pharma self-identified that </w:t>
            </w:r>
            <w:r w:rsidR="00896F6D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>monitoring visit reports (6) for Protocol 123 had been completed using pencil</w:t>
            </w:r>
            <w:r w:rsidR="00A50C8A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 xml:space="preserve">. </w:t>
            </w:r>
            <w:r w:rsidR="00456F9E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 xml:space="preserve">Following manager review of the submitted reports, </w:t>
            </w:r>
            <w:r w:rsidR="00556E2A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>the</w:t>
            </w:r>
            <w:r w:rsidR="00A50C8A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 xml:space="preserve"> potential trend was </w:t>
            </w:r>
            <w:r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>escalated</w:t>
            </w:r>
            <w:r w:rsidR="00456F9E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 xml:space="preserve">, and </w:t>
            </w:r>
            <w:r w:rsidR="00A50C8A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 xml:space="preserve">ABC Pharma </w:t>
            </w:r>
            <w:r w:rsidR="001A655D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 xml:space="preserve">took </w:t>
            </w:r>
            <w:r w:rsidR="00456F9E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 xml:space="preserve">immediate </w:t>
            </w:r>
            <w:r w:rsidR="001A655D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>action</w:t>
            </w:r>
            <w:r w:rsidR="00456F9E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r w:rsidR="001A655D" w:rsidRPr="00A03961">
              <w:rPr>
                <w:rFonts w:ascii="Arial" w:hAnsi="Arial" w:cs="Arial"/>
                <w:bCs/>
                <w:color w:val="833C0B" w:themeColor="accent2" w:themeShade="80"/>
                <w:sz w:val="22"/>
                <w:szCs w:val="22"/>
              </w:rPr>
              <w:t>to ensure comprehensive mitigation.</w:t>
            </w:r>
          </w:p>
          <w:p w14:paraId="1AE6CF9D" w14:textId="77777777" w:rsidR="00351486" w:rsidRDefault="00351486" w:rsidP="000B626E">
            <w:pPr>
              <w:rPr>
                <w:rFonts w:ascii="Arial" w:hAnsi="Arial" w:cs="Arial"/>
                <w:bCs/>
                <w:i/>
                <w:iCs/>
                <w:color w:val="833C0B" w:themeColor="accent2" w:themeShade="80"/>
                <w:sz w:val="22"/>
                <w:szCs w:val="22"/>
              </w:rPr>
            </w:pPr>
          </w:p>
          <w:p w14:paraId="3B05AD69" w14:textId="6F97093A" w:rsidR="002F3439" w:rsidRPr="00675F4D" w:rsidRDefault="002F3439" w:rsidP="00A13194">
            <w:pPr>
              <w:rPr>
                <w:rFonts w:ascii="Arial" w:hAnsi="Arial" w:cs="Arial"/>
              </w:rPr>
            </w:pPr>
          </w:p>
        </w:tc>
        <w:tc>
          <w:tcPr>
            <w:tcW w:w="5505" w:type="dxa"/>
          </w:tcPr>
          <w:p w14:paraId="1ACC89AE" w14:textId="69C15747" w:rsidR="00710175" w:rsidRPr="002E7B39" w:rsidRDefault="00261C01" w:rsidP="000B626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Key </w:t>
            </w:r>
            <w:r w:rsidR="00710175" w:rsidRPr="002E7B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Background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Information:</w:t>
            </w:r>
          </w:p>
          <w:p w14:paraId="33CA8698" w14:textId="77777777" w:rsidR="002E7B39" w:rsidRPr="002E7B39" w:rsidRDefault="002E7B39" w:rsidP="000B626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20CE310" w14:textId="6E8B2017" w:rsidR="00D21F07" w:rsidRPr="00A03961" w:rsidRDefault="00A03961" w:rsidP="00675F4D">
            <w:pPr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>[</w:t>
            </w:r>
            <w:r w:rsidR="00C13827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Provide </w:t>
            </w:r>
            <w:r w:rsidR="00ED4510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the </w:t>
            </w:r>
            <w:r w:rsidR="00C13827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highest-level background information </w:t>
            </w:r>
            <w:r w:rsidR="00ED4510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available </w:t>
            </w:r>
            <w:r w:rsidR="00342F57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>that clearly relays</w:t>
            </w:r>
            <w:r w:rsidR="00790BE7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 information and/or </w:t>
            </w:r>
            <w:r w:rsidR="00342F57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events </w:t>
            </w:r>
            <w:r w:rsidR="00ED4510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that led to or contributed </w:t>
            </w:r>
            <w:r w:rsidR="00342F57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>to the issue</w:t>
            </w:r>
            <w:r w:rsidR="00ED4510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>, with key focus on root cause</w:t>
            </w:r>
            <w:r w:rsidR="00342F57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. This should </w:t>
            </w:r>
            <w:r w:rsidR="00583CD9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be limited to </w:t>
            </w:r>
            <w:r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>three</w:t>
            </w:r>
            <w:r w:rsidR="00583CD9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 to </w:t>
            </w:r>
            <w:r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>five</w:t>
            </w:r>
            <w:r w:rsidR="00583CD9" w:rsidRPr="00A03961"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 xml:space="preserve"> points and can be bulleted or in paragraph format.</w:t>
            </w:r>
            <w:r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  <w:t>]</w:t>
            </w:r>
          </w:p>
          <w:p w14:paraId="2157240D" w14:textId="77777777" w:rsidR="007A3B10" w:rsidRDefault="007A3B10" w:rsidP="00675F4D">
            <w:pPr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  <w:p w14:paraId="228A2890" w14:textId="77777777" w:rsidR="007A3B10" w:rsidRPr="005C6EE3" w:rsidRDefault="007A3B10" w:rsidP="00675F4D">
            <w:pPr>
              <w:rPr>
                <w:rFonts w:ascii="Arial" w:eastAsia="Times New Roman" w:hAnsi="Arial" w:cs="Arial"/>
                <w:i/>
                <w:iCs/>
                <w:color w:val="833C0B" w:themeColor="accent2" w:themeShade="80"/>
                <w:sz w:val="22"/>
                <w:szCs w:val="22"/>
              </w:rPr>
            </w:pPr>
            <w:r w:rsidRPr="005C6EE3">
              <w:rPr>
                <w:rFonts w:ascii="Arial" w:eastAsia="Times New Roman" w:hAnsi="Arial" w:cs="Arial"/>
                <w:i/>
                <w:iCs/>
                <w:color w:val="833C0B" w:themeColor="accent2" w:themeShade="80"/>
                <w:sz w:val="22"/>
                <w:szCs w:val="22"/>
              </w:rPr>
              <w:t>Example:</w:t>
            </w:r>
          </w:p>
          <w:p w14:paraId="0403504B" w14:textId="77777777" w:rsidR="007A3B10" w:rsidRPr="005C6EE3" w:rsidRDefault="007A3B10" w:rsidP="00675F4D">
            <w:pPr>
              <w:rPr>
                <w:rFonts w:ascii="Arial" w:eastAsia="Times New Roman" w:hAnsi="Arial" w:cs="Arial"/>
                <w:i/>
                <w:iCs/>
                <w:color w:val="833C0B" w:themeColor="accent2" w:themeShade="80"/>
                <w:sz w:val="22"/>
                <w:szCs w:val="22"/>
              </w:rPr>
            </w:pPr>
          </w:p>
          <w:p w14:paraId="515605E5" w14:textId="65F1CCCE" w:rsidR="007A3B10" w:rsidRPr="00A03961" w:rsidRDefault="00DF4F03" w:rsidP="0011687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>During review on</w:t>
            </w:r>
            <w:r w:rsidR="005C1408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24 Jan 2020, 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a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c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linical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o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perations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m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anager (COM) identified that a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m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onitoring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v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isit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r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eport </w:t>
            </w:r>
            <w:r w:rsidR="00807742" w:rsidRPr="00A03961">
              <w:rPr>
                <w:rFonts w:ascii="Arial" w:eastAsia="Times New Roman" w:hAnsi="Arial" w:cs="Arial"/>
                <w:color w:val="833C0B" w:themeColor="accent2" w:themeShade="80"/>
              </w:rPr>
              <w:t>dated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10 Dec 2019 </w:t>
            </w:r>
            <w:r w:rsidR="005C1408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had been </w:t>
            </w:r>
            <w:r w:rsidR="00807742" w:rsidRPr="00A03961">
              <w:rPr>
                <w:rFonts w:ascii="Arial" w:eastAsia="Times New Roman" w:hAnsi="Arial" w:cs="Arial"/>
                <w:color w:val="833C0B" w:themeColor="accent2" w:themeShade="80"/>
              </w:rPr>
              <w:t>completed</w:t>
            </w:r>
            <w:r w:rsidR="005C1408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using a pencil</w:t>
            </w:r>
            <w:r w:rsidR="0053417F" w:rsidRPr="00A03961">
              <w:rPr>
                <w:rFonts w:ascii="Arial" w:eastAsia="Times New Roman" w:hAnsi="Arial" w:cs="Arial"/>
                <w:color w:val="833C0B" w:themeColor="accent2" w:themeShade="80"/>
              </w:rPr>
              <w:t>.</w:t>
            </w:r>
            <w:r w:rsidR="004D6D4E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The 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COM immediately notified the responsible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m</w:t>
            </w:r>
            <w:r w:rsidR="004D6D4E" w:rsidRPr="00A03961">
              <w:rPr>
                <w:rFonts w:ascii="Arial" w:eastAsia="Times New Roman" w:hAnsi="Arial" w:cs="Arial"/>
                <w:color w:val="833C0B" w:themeColor="accent2" w:themeShade="80"/>
              </w:rPr>
              <w:t>onito</w:t>
            </w:r>
            <w:r w:rsidR="00C52F53" w:rsidRPr="00A03961">
              <w:rPr>
                <w:rFonts w:ascii="Arial" w:eastAsia="Times New Roman" w:hAnsi="Arial" w:cs="Arial"/>
                <w:color w:val="833C0B" w:themeColor="accent2" w:themeShade="80"/>
              </w:rPr>
              <w:t>r.</w:t>
            </w:r>
            <w:r w:rsidR="00B7788F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</w:t>
            </w:r>
          </w:p>
          <w:p w14:paraId="0FB43065" w14:textId="7B03AA77" w:rsidR="003229F9" w:rsidRPr="00A03961" w:rsidRDefault="003229F9" w:rsidP="0011687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The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m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onitoring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v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isit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r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eport was resubmitted </w:t>
            </w:r>
            <w:r w:rsidR="007C6A1A" w:rsidRPr="00A03961">
              <w:rPr>
                <w:rFonts w:ascii="Arial" w:eastAsia="Times New Roman" w:hAnsi="Arial" w:cs="Arial"/>
                <w:color w:val="833C0B" w:themeColor="accent2" w:themeShade="80"/>
              </w:rPr>
              <w:t>on 27 Jan 2020.</w:t>
            </w:r>
            <w:r w:rsidR="00402A5A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The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</w:rPr>
              <w:t>m</w:t>
            </w:r>
            <w:r w:rsidR="00402A5A" w:rsidRPr="00A03961">
              <w:rPr>
                <w:rFonts w:ascii="Arial" w:eastAsia="Times New Roman" w:hAnsi="Arial" w:cs="Arial"/>
                <w:color w:val="833C0B" w:themeColor="accent2" w:themeShade="80"/>
              </w:rPr>
              <w:t>anager reviewed the report on 27 Jan 2020 and confirmed that it was compliant with SOP 502</w:t>
            </w:r>
            <w:r w:rsidR="00C52F53" w:rsidRPr="00A03961">
              <w:rPr>
                <w:rFonts w:ascii="Arial" w:eastAsia="Times New Roman" w:hAnsi="Arial" w:cs="Arial"/>
                <w:color w:val="833C0B" w:themeColor="accent2" w:themeShade="80"/>
              </w:rPr>
              <w:t>.</w:t>
            </w:r>
            <w:r w:rsidR="005610E5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A certified copy of the original handwritten report was created</w:t>
            </w:r>
            <w:r w:rsidR="00554077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for preservation purposes.</w:t>
            </w:r>
          </w:p>
          <w:p w14:paraId="1706A637" w14:textId="56AF927D" w:rsidR="007C6A1A" w:rsidRPr="00A03961" w:rsidRDefault="007C6A1A" w:rsidP="0011687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On </w:t>
            </w:r>
            <w:r w:rsidR="00610CF0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27 </w:t>
            </w:r>
            <w:r w:rsidR="00AF45DF" w:rsidRPr="00A03961">
              <w:rPr>
                <w:rFonts w:ascii="Arial" w:eastAsia="Times New Roman" w:hAnsi="Arial" w:cs="Arial"/>
                <w:color w:val="833C0B" w:themeColor="accent2" w:themeShade="80"/>
              </w:rPr>
              <w:t>April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2020, </w:t>
            </w:r>
            <w:r w:rsidR="00D51EC5" w:rsidRPr="00A03961">
              <w:rPr>
                <w:rFonts w:ascii="Arial" w:eastAsia="Times New Roman" w:hAnsi="Arial" w:cs="Arial"/>
                <w:color w:val="833C0B" w:themeColor="accent2" w:themeShade="80"/>
              </w:rPr>
              <w:t>it was identified that five</w:t>
            </w:r>
            <w:r w:rsidR="0033552C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additional monitors had submitted </w:t>
            </w:r>
            <w:r w:rsidR="00003145" w:rsidRPr="00A03961">
              <w:rPr>
                <w:rFonts w:ascii="Arial" w:eastAsia="Times New Roman" w:hAnsi="Arial" w:cs="Arial"/>
                <w:color w:val="833C0B" w:themeColor="accent2" w:themeShade="80"/>
              </w:rPr>
              <w:t>five (one each)</w:t>
            </w:r>
            <w:r w:rsidR="00D51EC5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</w:t>
            </w:r>
            <w:r w:rsidR="0033552C" w:rsidRPr="00A03961">
              <w:rPr>
                <w:rFonts w:ascii="Arial" w:eastAsia="Times New Roman" w:hAnsi="Arial" w:cs="Arial"/>
                <w:color w:val="833C0B" w:themeColor="accent2" w:themeShade="80"/>
              </w:rPr>
              <w:t>monitoring visit reports</w:t>
            </w:r>
            <w:r w:rsidR="000F0DEE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completed </w:t>
            </w:r>
            <w:r w:rsidR="0033552C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using </w:t>
            </w:r>
            <w:r w:rsidR="00D51EC5" w:rsidRPr="00A03961">
              <w:rPr>
                <w:rFonts w:ascii="Arial" w:eastAsia="Times New Roman" w:hAnsi="Arial" w:cs="Arial"/>
                <w:color w:val="833C0B" w:themeColor="accent2" w:themeShade="80"/>
              </w:rPr>
              <w:t>a pencil.</w:t>
            </w:r>
          </w:p>
          <w:p w14:paraId="63DA56C8" w14:textId="2B55D62F" w:rsidR="00D51EC5" w:rsidRPr="007D4FEE" w:rsidRDefault="00D51EC5" w:rsidP="00675F4D">
            <w:pPr>
              <w:rPr>
                <w:rFonts w:ascii="Arial" w:eastAsia="Times New Roman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F43E8A" w14:paraId="137D9837" w14:textId="77777777" w:rsidTr="00116870">
        <w:trPr>
          <w:trHeight w:val="710"/>
        </w:trPr>
        <w:tc>
          <w:tcPr>
            <w:tcW w:w="10170" w:type="dxa"/>
            <w:gridSpan w:val="2"/>
          </w:tcPr>
          <w:p w14:paraId="67DCE860" w14:textId="77777777" w:rsidR="00F43E8A" w:rsidRDefault="00F43E8A" w:rsidP="00F43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High Level Impact Analysis Statement:</w:t>
            </w:r>
          </w:p>
          <w:p w14:paraId="20CB9520" w14:textId="77777777" w:rsidR="00F43E8A" w:rsidRDefault="00F43E8A" w:rsidP="00F43E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11C10" w14:textId="412BF91D" w:rsidR="00F43E8A" w:rsidRPr="00A03961" w:rsidRDefault="00A03961" w:rsidP="000B626E">
            <w:pPr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[</w:t>
            </w:r>
            <w:r w:rsidR="00F43E8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Include</w:t>
            </w:r>
            <w:r w:rsidR="00ED4510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a</w:t>
            </w:r>
            <w:r w:rsidR="00F43E8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ED4510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high-level</w:t>
            </w:r>
            <w:r w:rsidR="00F43E8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statement regarding the impact t</w:t>
            </w:r>
            <w:r w:rsidR="008E277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hat this issue </w:t>
            </w:r>
            <w:r w:rsidR="00F43E8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had, could have, or will have on data integrity and/or patient safety.</w:t>
            </w:r>
            <w:r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]</w:t>
            </w:r>
          </w:p>
          <w:p w14:paraId="4AB38CEC" w14:textId="77777777" w:rsidR="000F0DEE" w:rsidRDefault="000F0DEE" w:rsidP="000B62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147689F" w14:textId="77777777" w:rsidR="000F0DEE" w:rsidRDefault="000F0DEE" w:rsidP="000B62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6EE3">
              <w:rPr>
                <w:rFonts w:ascii="Arial" w:eastAsia="Times New Roman" w:hAnsi="Arial" w:cs="Arial"/>
                <w:i/>
                <w:iCs/>
                <w:color w:val="833C0B" w:themeColor="accent2" w:themeShade="80"/>
                <w:sz w:val="22"/>
                <w:szCs w:val="22"/>
              </w:rPr>
              <w:t>Example: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A22C4F1" w14:textId="77777777" w:rsidR="005C6EE3" w:rsidRDefault="005C6EE3" w:rsidP="000B62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92E624A" w14:textId="6DF0B735" w:rsidR="00D66EC1" w:rsidRPr="00DE50CE" w:rsidRDefault="005D5D9B" w:rsidP="00D66EC1">
            <w:pPr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</w:pPr>
            <w:r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The use of pencil for completing clinical trial documentation </w:t>
            </w:r>
            <w:r w:rsidR="006246A5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is strictly prohibited by </w:t>
            </w:r>
            <w:r w:rsidR="00266CB5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ABC Pharma</w:t>
            </w:r>
            <w:r w:rsidR="00ED0497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 Policy </w:t>
            </w:r>
            <w:r w:rsidR="00D66EC1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100: Good Documentation Practices</w:t>
            </w:r>
            <w:r w:rsidR="00ED0497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. It is also prohibited by SOP 502 (V1). </w:t>
            </w:r>
            <w:r w:rsidR="00C52F53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A trend of c</w:t>
            </w:r>
            <w:r w:rsidR="00632994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ompleting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m</w:t>
            </w:r>
            <w:r w:rsidR="003C516C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onitoring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v</w:t>
            </w:r>
            <w:r w:rsidR="003C516C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isit </w:t>
            </w:r>
            <w:r w:rsid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r</w:t>
            </w:r>
            <w:r w:rsidR="003C516C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eports with a pencil </w:t>
            </w:r>
            <w:r w:rsidR="00632994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introduce</w:t>
            </w:r>
            <w:r w:rsidR="006A61C8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s</w:t>
            </w:r>
            <w:r w:rsidR="00632994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 a high level of </w:t>
            </w:r>
            <w:r w:rsidR="006A61C8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risk</w:t>
            </w:r>
            <w:r w:rsidR="001E320C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 </w:t>
            </w:r>
            <w:r w:rsidR="00D66EC1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 xml:space="preserve">to data integrity as well as risk to patient safety. </w:t>
            </w:r>
            <w:r w:rsidR="00B72972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There is a high probability that the use of a pencil for documenting monitoring visits will result in an inspection observation</w:t>
            </w:r>
            <w:r w:rsidR="00D66EC1" w:rsidRPr="00A03961">
              <w:rPr>
                <w:rFonts w:ascii="Arial" w:eastAsia="Times New Roman" w:hAnsi="Arial" w:cs="Arial"/>
                <w:color w:val="833C0B" w:themeColor="accent2" w:themeShade="80"/>
                <w:sz w:val="22"/>
                <w:szCs w:val="22"/>
              </w:rPr>
              <w:t>.</w:t>
            </w:r>
          </w:p>
        </w:tc>
      </w:tr>
      <w:tr w:rsidR="006F6D8F" w14:paraId="14122CF8" w14:textId="77777777" w:rsidTr="00410D94">
        <w:trPr>
          <w:trHeight w:val="1790"/>
        </w:trPr>
        <w:tc>
          <w:tcPr>
            <w:tcW w:w="10170" w:type="dxa"/>
            <w:gridSpan w:val="2"/>
          </w:tcPr>
          <w:p w14:paraId="00E423BB" w14:textId="4EBDE412" w:rsidR="006F6D8F" w:rsidRDefault="006F6D8F" w:rsidP="000B62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Overview of Cor</w:t>
            </w:r>
            <w:r w:rsidR="00261C01">
              <w:rPr>
                <w:rFonts w:ascii="Arial" w:hAnsi="Arial" w:cs="Arial"/>
                <w:b/>
                <w:sz w:val="22"/>
                <w:szCs w:val="22"/>
              </w:rPr>
              <w:t>rective and/or Preventative Action</w:t>
            </w:r>
            <w:r w:rsidR="0052187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61C0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2187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261C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B2F8B17" w14:textId="69F7E1BF" w:rsidR="00261C01" w:rsidRDefault="00261C01" w:rsidP="000B6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C47E8" w14:textId="16A0DF25" w:rsidR="00261C01" w:rsidRPr="00A03961" w:rsidRDefault="00A03961" w:rsidP="000B626E">
            <w:pPr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</w:pPr>
            <w:r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[</w:t>
            </w:r>
            <w:r w:rsidR="008E277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List</w:t>
            </w:r>
            <w:r w:rsidR="00261C01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key</w:t>
            </w:r>
            <w:r w:rsidR="008E277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high-level</w:t>
            </w:r>
            <w:r w:rsidR="00261C01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actions taken in the past</w:t>
            </w:r>
            <w:r w:rsidR="00521874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, </w:t>
            </w:r>
            <w:r w:rsidR="00261C01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recently</w:t>
            </w:r>
            <w:r w:rsidR="00521874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, or are planned</w:t>
            </w:r>
            <w:r w:rsidR="00261C01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to </w:t>
            </w:r>
            <w:r w:rsidR="00D3207D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clarify, address, or prevent the issue</w:t>
            </w:r>
            <w:r w:rsidR="008E277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, focusing on root cause</w:t>
            </w:r>
            <w:r w:rsidR="00D3207D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. </w:t>
            </w:r>
            <w:r w:rsidR="00CA116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If available</w:t>
            </w:r>
            <w:r w:rsidR="008E277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,</w:t>
            </w:r>
            <w:r w:rsidR="00CA116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include date</w:t>
            </w:r>
            <w:r w:rsidR="008E277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/quarter</w:t>
            </w:r>
            <w:r w:rsidR="00D822D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/year</w:t>
            </w:r>
            <w:r w:rsidR="00CA116A"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when actions were completed or a target date for completion. For actions still in progress, review and update just prior to inspection.</w:t>
            </w:r>
            <w:r w:rsidRPr="00A03961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 This information can be presented in a bulleted list or in a table indicting the date and action(s).]</w:t>
            </w:r>
          </w:p>
          <w:p w14:paraId="41588A07" w14:textId="77777777" w:rsidR="00A03961" w:rsidRDefault="00A03961" w:rsidP="00116870">
            <w:pPr>
              <w:rPr>
                <w:rFonts w:ascii="Arial" w:eastAsia="Times New Roman" w:hAnsi="Arial" w:cs="Arial"/>
                <w:i/>
                <w:iCs/>
                <w:color w:val="833C0B" w:themeColor="accent2" w:themeShade="80"/>
              </w:rPr>
            </w:pPr>
          </w:p>
          <w:p w14:paraId="0FF9C58E" w14:textId="63795902" w:rsidR="00116870" w:rsidRDefault="00116870" w:rsidP="00116870">
            <w:pPr>
              <w:rPr>
                <w:rFonts w:ascii="Arial" w:eastAsia="Times New Roman" w:hAnsi="Arial" w:cs="Arial"/>
                <w:i/>
                <w:iCs/>
                <w:color w:val="833C0B" w:themeColor="accent2" w:themeShade="80"/>
              </w:rPr>
            </w:pPr>
            <w:r w:rsidRPr="00116870">
              <w:rPr>
                <w:rFonts w:ascii="Arial" w:eastAsia="Times New Roman" w:hAnsi="Arial" w:cs="Arial"/>
                <w:i/>
                <w:iCs/>
                <w:color w:val="833C0B" w:themeColor="accent2" w:themeShade="80"/>
              </w:rPr>
              <w:t>Example:</w:t>
            </w:r>
          </w:p>
          <w:p w14:paraId="741C1CB7" w14:textId="75869635" w:rsidR="008F7CE0" w:rsidRDefault="008F7CE0" w:rsidP="00116870">
            <w:pPr>
              <w:rPr>
                <w:rFonts w:ascii="Arial" w:eastAsia="Times New Roman" w:hAnsi="Arial" w:cs="Arial"/>
                <w:i/>
                <w:iCs/>
                <w:color w:val="833C0B" w:themeColor="accent2" w:themeShade="80"/>
              </w:rPr>
            </w:pPr>
          </w:p>
          <w:p w14:paraId="223856A4" w14:textId="77777777" w:rsidR="00DE50CE" w:rsidRDefault="008F7CE0" w:rsidP="00DE50C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A03961">
              <w:rPr>
                <w:rFonts w:ascii="Arial" w:eastAsia="Times New Roman" w:hAnsi="Arial" w:cs="Arial"/>
                <w:color w:val="833C0B" w:themeColor="accent2" w:themeShade="80"/>
                <w:u w:val="single"/>
              </w:rPr>
              <w:t>27 Apr 2020: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An internal CAPA was initiated</w:t>
            </w:r>
            <w:r w:rsidR="00DE50CE">
              <w:rPr>
                <w:rFonts w:ascii="Arial" w:eastAsia="Times New Roman" w:hAnsi="Arial" w:cs="Arial"/>
                <w:color w:val="833C0B" w:themeColor="accent2" w:themeShade="80"/>
              </w:rPr>
              <w:t>, which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included a root cause analysis. It was determined that the monitors completed reports using pencil while experiencing computer issues so that they could meet timelines required by the </w:t>
            </w:r>
            <w:r w:rsidR="00DE50CE">
              <w:rPr>
                <w:rFonts w:ascii="Arial" w:eastAsia="Times New Roman" w:hAnsi="Arial" w:cs="Arial"/>
                <w:color w:val="833C0B" w:themeColor="accent2" w:themeShade="80"/>
              </w:rPr>
              <w:t>m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onitoring </w:t>
            </w:r>
            <w:r w:rsidR="00DE50CE">
              <w:rPr>
                <w:rFonts w:ascii="Arial" w:eastAsia="Times New Roman" w:hAnsi="Arial" w:cs="Arial"/>
                <w:color w:val="833C0B" w:themeColor="accent2" w:themeShade="80"/>
              </w:rPr>
              <w:t>p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lan. None of the six monitors had access to a pen during the computer downtime due to a state-wide ink </w:t>
            </w:r>
            <w:r w:rsidR="00AC5909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pen 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>shortage between 25 Nov and 15 Dec 2020.</w:t>
            </w:r>
          </w:p>
          <w:p w14:paraId="2152EAF3" w14:textId="77777777" w:rsidR="00DE50CE" w:rsidRPr="00DE50CE" w:rsidRDefault="00DE50CE" w:rsidP="00DE50CE">
            <w:pPr>
              <w:pStyle w:val="ListParagraph"/>
              <w:rPr>
                <w:rFonts w:ascii="Arial" w:eastAsia="Times New Roman" w:hAnsi="Arial" w:cs="Arial"/>
                <w:color w:val="833C0B" w:themeColor="accent2" w:themeShade="80"/>
              </w:rPr>
            </w:pPr>
          </w:p>
          <w:p w14:paraId="084388A8" w14:textId="77777777" w:rsidR="00DE50CE" w:rsidRDefault="002964E9" w:rsidP="00DE50C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  <w:u w:val="single"/>
              </w:rPr>
              <w:t>28 Apr 2020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: It was confirmed that as of 25 Nov 2020 all six monitors involved </w:t>
            </w:r>
            <w:r w:rsidR="00B34CA7"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had completed the required 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>annual GCP refresher training</w:t>
            </w:r>
            <w:r w:rsidR="00B34CA7" w:rsidRPr="00DE50CE">
              <w:rPr>
                <w:rFonts w:ascii="Arial" w:eastAsia="Times New Roman" w:hAnsi="Arial" w:cs="Arial"/>
                <w:color w:val="833C0B" w:themeColor="accent2" w:themeShade="80"/>
              </w:rPr>
              <w:t>, which includes Good Documentation Practic</w:t>
            </w:r>
            <w:r w:rsidR="00901686" w:rsidRPr="00DE50CE">
              <w:rPr>
                <w:rFonts w:ascii="Arial" w:eastAsia="Times New Roman" w:hAnsi="Arial" w:cs="Arial"/>
                <w:color w:val="833C0B" w:themeColor="accent2" w:themeShade="80"/>
              </w:rPr>
              <w:t>e</w:t>
            </w:r>
            <w:r w:rsidR="00DE50CE" w:rsidRPr="00DE50CE">
              <w:rPr>
                <w:rFonts w:ascii="Arial" w:eastAsia="Times New Roman" w:hAnsi="Arial" w:cs="Arial"/>
                <w:color w:val="833C0B" w:themeColor="accent2" w:themeShade="80"/>
              </w:rPr>
              <w:t>s</w:t>
            </w:r>
            <w:r w:rsidR="00901686"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 (GDP</w:t>
            </w:r>
            <w:r w:rsidR="00DE50CE" w:rsidRPr="00DE50CE">
              <w:rPr>
                <w:rFonts w:ascii="Arial" w:eastAsia="Times New Roman" w:hAnsi="Arial" w:cs="Arial"/>
                <w:color w:val="833C0B" w:themeColor="accent2" w:themeShade="80"/>
              </w:rPr>
              <w:t>s</w:t>
            </w:r>
            <w:r w:rsidR="00901686" w:rsidRPr="00DE50CE">
              <w:rPr>
                <w:rFonts w:ascii="Arial" w:eastAsia="Times New Roman" w:hAnsi="Arial" w:cs="Arial"/>
                <w:color w:val="833C0B" w:themeColor="accent2" w:themeShade="80"/>
              </w:rPr>
              <w:t>).</w:t>
            </w:r>
          </w:p>
          <w:p w14:paraId="21DE4B35" w14:textId="77777777" w:rsidR="00DE50CE" w:rsidRPr="00DE50CE" w:rsidRDefault="00DE50CE" w:rsidP="00DE50CE">
            <w:pPr>
              <w:pStyle w:val="ListParagraph"/>
              <w:rPr>
                <w:rFonts w:ascii="Arial" w:eastAsia="Times New Roman" w:hAnsi="Arial" w:cs="Arial"/>
                <w:color w:val="833C0B" w:themeColor="accent2" w:themeShade="80"/>
                <w:u w:val="single"/>
              </w:rPr>
            </w:pPr>
          </w:p>
          <w:p w14:paraId="2ED4C654" w14:textId="39D0546C" w:rsidR="00116870" w:rsidRPr="00DE50CE" w:rsidRDefault="008F7CE0" w:rsidP="00DE50C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  <w:u w:val="single"/>
              </w:rPr>
              <w:t>3 May 2020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: A review of all monitoring reports awaiting COM confirmed that no additional reports were written in pencil.  </w:t>
            </w:r>
          </w:p>
          <w:p w14:paraId="710F41AF" w14:textId="77777777" w:rsidR="00901686" w:rsidRPr="00A03961" w:rsidRDefault="00901686" w:rsidP="00901686">
            <w:pPr>
              <w:pStyle w:val="ListParagraph"/>
              <w:rPr>
                <w:rFonts w:ascii="Arial" w:eastAsia="Times New Roman" w:hAnsi="Arial" w:cs="Arial"/>
                <w:color w:val="833C0B" w:themeColor="accent2" w:themeShade="80"/>
              </w:rPr>
            </w:pPr>
          </w:p>
          <w:p w14:paraId="2A3319BC" w14:textId="428CC014" w:rsidR="008F7CE0" w:rsidRPr="00A03961" w:rsidRDefault="008F7CE0" w:rsidP="008F7CE0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A03961">
              <w:rPr>
                <w:rFonts w:ascii="Arial" w:eastAsia="Times New Roman" w:hAnsi="Arial" w:cs="Arial"/>
                <w:color w:val="833C0B" w:themeColor="accent2" w:themeShade="80"/>
                <w:u w:val="single"/>
              </w:rPr>
              <w:t>4 May 2020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>: The six monitors involved participated in a decision-making coaching session led by Jane Doe, PH.D., Make Good Decisions, Inc.</w:t>
            </w:r>
            <w:r w:rsidR="00901686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The session included retraining on the following SOPs and topics:</w:t>
            </w:r>
          </w:p>
          <w:p w14:paraId="5F8DA1F1" w14:textId="77777777" w:rsidR="00901686" w:rsidRPr="00A03961" w:rsidRDefault="008F7CE0" w:rsidP="00901686">
            <w:pPr>
              <w:pStyle w:val="ListParagraph"/>
              <w:numPr>
                <w:ilvl w:val="1"/>
                <w:numId w:val="15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>SOP 302 (V1) Quality Event and CAPA Management</w:t>
            </w:r>
          </w:p>
          <w:p w14:paraId="37F41549" w14:textId="1C6E3F6B" w:rsidR="008F7CE0" w:rsidRPr="00A03961" w:rsidRDefault="00901686" w:rsidP="00901686">
            <w:pPr>
              <w:pStyle w:val="ListParagraph"/>
              <w:numPr>
                <w:ilvl w:val="1"/>
                <w:numId w:val="15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>H</w:t>
            </w:r>
            <w:r w:rsidR="008F7CE0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ow to </w:t>
            </w:r>
            <w:r w:rsidR="00186233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contact the IT </w:t>
            </w:r>
            <w:r w:rsidR="00DE50CE">
              <w:rPr>
                <w:rFonts w:ascii="Arial" w:eastAsia="Times New Roman" w:hAnsi="Arial" w:cs="Arial"/>
                <w:color w:val="833C0B" w:themeColor="accent2" w:themeShade="80"/>
              </w:rPr>
              <w:t>h</w:t>
            </w:r>
            <w:r w:rsidR="007609F2" w:rsidRPr="00A03961">
              <w:rPr>
                <w:rFonts w:ascii="Arial" w:eastAsia="Times New Roman" w:hAnsi="Arial" w:cs="Arial"/>
                <w:color w:val="833C0B" w:themeColor="accent2" w:themeShade="80"/>
              </w:rPr>
              <w:t>elp</w:t>
            </w:r>
            <w:r w:rsid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 </w:t>
            </w:r>
            <w:r w:rsidR="007609F2" w:rsidRPr="00A03961">
              <w:rPr>
                <w:rFonts w:ascii="Arial" w:eastAsia="Times New Roman" w:hAnsi="Arial" w:cs="Arial"/>
                <w:color w:val="833C0B" w:themeColor="accent2" w:themeShade="80"/>
              </w:rPr>
              <w:t>desk</w:t>
            </w:r>
            <w:r w:rsidR="00186233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</w:t>
            </w:r>
            <w:r w:rsidR="00A341C7" w:rsidRPr="00A03961">
              <w:rPr>
                <w:rFonts w:ascii="Arial" w:eastAsia="Times New Roman" w:hAnsi="Arial" w:cs="Arial"/>
                <w:color w:val="833C0B" w:themeColor="accent2" w:themeShade="80"/>
              </w:rPr>
              <w:t>via phone</w:t>
            </w:r>
          </w:p>
          <w:p w14:paraId="0675373C" w14:textId="25C76815" w:rsidR="00901686" w:rsidRPr="00A03961" w:rsidRDefault="00901686" w:rsidP="00901686">
            <w:pPr>
              <w:pStyle w:val="ListParagraph"/>
              <w:numPr>
                <w:ilvl w:val="1"/>
                <w:numId w:val="15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>GCP</w:t>
            </w:r>
            <w:r w:rsidR="00DE50CE">
              <w:rPr>
                <w:rFonts w:ascii="Arial" w:eastAsia="Times New Roman" w:hAnsi="Arial" w:cs="Arial"/>
                <w:color w:val="833C0B" w:themeColor="accent2" w:themeShade="80"/>
              </w:rPr>
              <w:t>s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</w:t>
            </w:r>
            <w:r w:rsidR="00DE50CE">
              <w:rPr>
                <w:rFonts w:ascii="Arial" w:eastAsia="Times New Roman" w:hAnsi="Arial" w:cs="Arial"/>
                <w:color w:val="833C0B" w:themeColor="accent2" w:themeShade="80"/>
              </w:rPr>
              <w:t>and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GDP</w:t>
            </w:r>
            <w:r w:rsidR="00DE50CE">
              <w:rPr>
                <w:rFonts w:ascii="Arial" w:eastAsia="Times New Roman" w:hAnsi="Arial" w:cs="Arial"/>
                <w:color w:val="833C0B" w:themeColor="accent2" w:themeShade="80"/>
              </w:rPr>
              <w:t>s</w:t>
            </w:r>
          </w:p>
          <w:p w14:paraId="450D46EA" w14:textId="77777777" w:rsidR="00901686" w:rsidRPr="00A03961" w:rsidRDefault="00901686" w:rsidP="00901686">
            <w:pPr>
              <w:pStyle w:val="ListParagraph"/>
              <w:ind w:left="1440"/>
              <w:rPr>
                <w:rFonts w:ascii="Arial" w:eastAsia="Times New Roman" w:hAnsi="Arial" w:cs="Arial"/>
                <w:color w:val="833C0B" w:themeColor="accent2" w:themeShade="80"/>
              </w:rPr>
            </w:pPr>
          </w:p>
          <w:p w14:paraId="4A29820F" w14:textId="43E87613" w:rsidR="008F7CE0" w:rsidRPr="00A03961" w:rsidRDefault="008F7CE0" w:rsidP="008F7CE0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A03961">
              <w:rPr>
                <w:rFonts w:ascii="Arial" w:eastAsia="Times New Roman" w:hAnsi="Arial" w:cs="Arial"/>
                <w:color w:val="833C0B" w:themeColor="accent2" w:themeShade="80"/>
                <w:u w:val="single"/>
              </w:rPr>
              <w:t>7 May 2020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>: All employees living</w:t>
            </w:r>
            <w:r w:rsidR="001F4306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or working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in the </w:t>
            </w:r>
            <w:r w:rsidR="00DE50CE">
              <w:rPr>
                <w:rFonts w:ascii="Arial" w:eastAsia="Times New Roman" w:hAnsi="Arial" w:cs="Arial"/>
                <w:color w:val="833C0B" w:themeColor="accent2" w:themeShade="80"/>
              </w:rPr>
              <w:t>s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tate received a corporate communication regarding the use of pencils during the </w:t>
            </w:r>
            <w:r w:rsidR="001F4306"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ink pen </w:t>
            </w:r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shortage. In addition, ABC Pharma initiated the </w:t>
            </w:r>
            <w:proofErr w:type="gramStart"/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>Can’t</w:t>
            </w:r>
            <w:proofErr w:type="gramEnd"/>
            <w:r w:rsidRPr="00A03961">
              <w:rPr>
                <w:rFonts w:ascii="Arial" w:eastAsia="Times New Roman" w:hAnsi="Arial" w:cs="Arial"/>
                <w:color w:val="833C0B" w:themeColor="accent2" w:themeShade="80"/>
              </w:rPr>
              <w:t xml:space="preserve"> Find a Pen? Task Force.</w:t>
            </w:r>
          </w:p>
          <w:p w14:paraId="7BA0CE3F" w14:textId="77777777" w:rsidR="00901686" w:rsidRPr="00A03961" w:rsidRDefault="00901686" w:rsidP="00901686">
            <w:pPr>
              <w:pStyle w:val="ListParagraph"/>
              <w:rPr>
                <w:rFonts w:ascii="Arial" w:eastAsia="Times New Roman" w:hAnsi="Arial" w:cs="Arial"/>
                <w:color w:val="833C0B" w:themeColor="accent2" w:themeShade="80"/>
              </w:rPr>
            </w:pPr>
          </w:p>
          <w:p w14:paraId="40DF5FEA" w14:textId="7B234C11" w:rsidR="00901686" w:rsidRPr="00A03961" w:rsidRDefault="008F7CE0" w:rsidP="00901686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A03961">
              <w:rPr>
                <w:rFonts w:ascii="Arial" w:hAnsi="Arial" w:cs="Arial"/>
                <w:bCs/>
                <w:color w:val="833C0B" w:themeColor="accent2" w:themeShade="80"/>
                <w:u w:val="single"/>
              </w:rPr>
              <w:t>1 July 2020</w:t>
            </w:r>
            <w:r w:rsidRPr="00A03961">
              <w:rPr>
                <w:rFonts w:ascii="Arial" w:hAnsi="Arial" w:cs="Arial"/>
                <w:bCs/>
                <w:color w:val="833C0B" w:themeColor="accent2" w:themeShade="80"/>
              </w:rPr>
              <w:t>: It was confirmed that zero monitoring visit reports</w:t>
            </w:r>
            <w:r w:rsidR="00DE50CE">
              <w:rPr>
                <w:rFonts w:ascii="Arial" w:hAnsi="Arial" w:cs="Arial"/>
                <w:bCs/>
                <w:color w:val="833C0B" w:themeColor="accent2" w:themeShade="80"/>
              </w:rPr>
              <w:t>,</w:t>
            </w:r>
            <w:r w:rsidRPr="00A03961">
              <w:rPr>
                <w:rFonts w:ascii="Arial" w:hAnsi="Arial" w:cs="Arial"/>
                <w:bCs/>
                <w:color w:val="833C0B" w:themeColor="accent2" w:themeShade="80"/>
              </w:rPr>
              <w:t xml:space="preserve"> nor any other clinical trial documentation completed between 27 April and 1 July 2020</w:t>
            </w:r>
            <w:r w:rsidR="00DE50CE">
              <w:rPr>
                <w:rFonts w:ascii="Arial" w:hAnsi="Arial" w:cs="Arial"/>
                <w:bCs/>
                <w:color w:val="833C0B" w:themeColor="accent2" w:themeShade="80"/>
              </w:rPr>
              <w:t>,</w:t>
            </w:r>
            <w:r w:rsidRPr="00A03961">
              <w:rPr>
                <w:rFonts w:ascii="Arial" w:hAnsi="Arial" w:cs="Arial"/>
                <w:bCs/>
                <w:color w:val="833C0B" w:themeColor="accent2" w:themeShade="80"/>
              </w:rPr>
              <w:t xml:space="preserve"> involved the use of a pencil.</w:t>
            </w:r>
          </w:p>
          <w:p w14:paraId="17796B78" w14:textId="77777777" w:rsidR="00901686" w:rsidRPr="00A03961" w:rsidRDefault="00901686" w:rsidP="00901686">
            <w:pPr>
              <w:pStyle w:val="ListParagraph"/>
              <w:rPr>
                <w:rFonts w:ascii="Arial" w:eastAsia="Times New Roman" w:hAnsi="Arial" w:cs="Arial"/>
                <w:color w:val="833C0B" w:themeColor="accent2" w:themeShade="80"/>
              </w:rPr>
            </w:pPr>
          </w:p>
          <w:p w14:paraId="4A575985" w14:textId="2E76CB6F" w:rsidR="00116870" w:rsidRPr="00901686" w:rsidRDefault="00901686" w:rsidP="00901686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i/>
                <w:iCs/>
                <w:color w:val="833C0B" w:themeColor="accent2" w:themeShade="80"/>
              </w:rPr>
            </w:pPr>
            <w:r w:rsidRPr="00A03961">
              <w:rPr>
                <w:rFonts w:ascii="Arial" w:hAnsi="Arial" w:cs="Arial"/>
                <w:bCs/>
                <w:color w:val="833C0B" w:themeColor="accent2" w:themeShade="80"/>
                <w:u w:val="single"/>
              </w:rPr>
              <w:t>15 July 2020:</w:t>
            </w:r>
            <w:r w:rsidRPr="00A03961">
              <w:rPr>
                <w:rFonts w:ascii="Arial" w:hAnsi="Arial" w:cs="Arial"/>
                <w:bCs/>
                <w:color w:val="833C0B" w:themeColor="accent2" w:themeShade="80"/>
              </w:rPr>
              <w:t xml:space="preserve"> The scenario of a complete loss of pens during computer downtime was added to the annual 2020 disaster recovery and business continuity testing plan. The testing will take place on 1 Nov 2020.</w:t>
            </w:r>
          </w:p>
        </w:tc>
      </w:tr>
      <w:tr w:rsidR="008855BC" w14:paraId="1A3767C1" w14:textId="77777777" w:rsidTr="007D4FEE">
        <w:trPr>
          <w:trHeight w:val="1838"/>
        </w:trPr>
        <w:tc>
          <w:tcPr>
            <w:tcW w:w="10170" w:type="dxa"/>
            <w:gridSpan w:val="2"/>
          </w:tcPr>
          <w:p w14:paraId="660B62A5" w14:textId="61B2D9E6" w:rsidR="008855BC" w:rsidRPr="008855BC" w:rsidRDefault="008855BC" w:rsidP="008855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5BC">
              <w:rPr>
                <w:rFonts w:ascii="Arial" w:hAnsi="Arial" w:cs="Arial"/>
                <w:b/>
                <w:sz w:val="22"/>
                <w:szCs w:val="22"/>
              </w:rPr>
              <w:lastRenderedPageBreak/>
              <w:t>Available Supportive Documents, if Requested by Inspector(s):</w:t>
            </w:r>
          </w:p>
          <w:p w14:paraId="5DD448FA" w14:textId="77777777" w:rsidR="008855BC" w:rsidRPr="008855BC" w:rsidRDefault="008855BC" w:rsidP="008855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3261E" w14:textId="749D9B88" w:rsidR="008D54F1" w:rsidRPr="00DE50CE" w:rsidRDefault="008D54F1" w:rsidP="008D54F1">
            <w:pPr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</w:pPr>
            <w:r w:rsidRPr="00DE50CE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List the key supporting documents that are ready and available to potentially satisfy a document request related to the issue. </w:t>
            </w:r>
            <w:r w:rsidR="001C5B7D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 xml:space="preserve">Be as specific as possible. </w:t>
            </w:r>
            <w:r w:rsidRPr="00DE50CE"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  <w:t>Review this list and update just prior to audit. If possible, insert hyperlink directly to each document.</w:t>
            </w:r>
          </w:p>
          <w:p w14:paraId="6863DB43" w14:textId="7B7ED76B" w:rsidR="008855BC" w:rsidRPr="00DE50CE" w:rsidRDefault="008855BC" w:rsidP="00DE50CE">
            <w:pPr>
              <w:rPr>
                <w:rFonts w:ascii="Arial" w:hAnsi="Arial" w:cs="Arial"/>
                <w:b/>
              </w:rPr>
            </w:pPr>
          </w:p>
          <w:p w14:paraId="664F2D12" w14:textId="21DB4B8D" w:rsidR="009E5253" w:rsidRDefault="009E5253" w:rsidP="009E5253">
            <w:pPr>
              <w:rPr>
                <w:rFonts w:ascii="Arial" w:eastAsia="Times New Roman" w:hAnsi="Arial" w:cs="Arial"/>
                <w:i/>
                <w:iCs/>
                <w:color w:val="833C0B" w:themeColor="accent2" w:themeShade="80"/>
              </w:rPr>
            </w:pPr>
            <w:r w:rsidRPr="00116870">
              <w:rPr>
                <w:rFonts w:ascii="Arial" w:eastAsia="Times New Roman" w:hAnsi="Arial" w:cs="Arial"/>
                <w:i/>
                <w:iCs/>
                <w:color w:val="833C0B" w:themeColor="accent2" w:themeShade="80"/>
              </w:rPr>
              <w:t>Example</w:t>
            </w:r>
            <w:r w:rsidR="000D66F6">
              <w:rPr>
                <w:rFonts w:ascii="Arial" w:eastAsia="Times New Roman" w:hAnsi="Arial" w:cs="Arial"/>
                <w:i/>
                <w:iCs/>
                <w:color w:val="833C0B" w:themeColor="accent2" w:themeShade="80"/>
              </w:rPr>
              <w:t>:</w:t>
            </w:r>
          </w:p>
          <w:p w14:paraId="35192D6F" w14:textId="21F0BC10" w:rsidR="00611029" w:rsidRDefault="00611029" w:rsidP="009E5253">
            <w:pPr>
              <w:rPr>
                <w:rFonts w:ascii="Arial" w:eastAsia="Times New Roman" w:hAnsi="Arial" w:cs="Arial"/>
                <w:i/>
                <w:iCs/>
                <w:color w:val="833C0B" w:themeColor="accent2" w:themeShade="80"/>
              </w:rPr>
            </w:pPr>
          </w:p>
          <w:p w14:paraId="7D322E38" w14:textId="3053B498" w:rsidR="006F47E5" w:rsidRPr="00DE50CE" w:rsidRDefault="006F47E5" w:rsidP="00F86FA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Documentation that COM </w:t>
            </w:r>
            <w:r w:rsidR="001C5B7D">
              <w:rPr>
                <w:rFonts w:ascii="Arial" w:eastAsia="Times New Roman" w:hAnsi="Arial" w:cs="Arial"/>
                <w:color w:val="833C0B" w:themeColor="accent2" w:themeShade="80"/>
              </w:rPr>
              <w:t xml:space="preserve">(John Brown) 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notified </w:t>
            </w:r>
            <w:r w:rsidR="001C5B7D">
              <w:rPr>
                <w:rFonts w:ascii="Arial" w:eastAsia="Times New Roman" w:hAnsi="Arial" w:cs="Arial"/>
                <w:color w:val="833C0B" w:themeColor="accent2" w:themeShade="80"/>
              </w:rPr>
              <w:t>m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onitor of issue </w:t>
            </w:r>
            <w:r w:rsidR="001C5B7D">
              <w:rPr>
                <w:rFonts w:ascii="Arial" w:eastAsia="Times New Roman" w:hAnsi="Arial" w:cs="Arial"/>
                <w:color w:val="833C0B" w:themeColor="accent2" w:themeShade="80"/>
              </w:rPr>
              <w:t xml:space="preserve">via email 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on 24 Jan 2020 and </w:t>
            </w:r>
            <w:r w:rsidR="001C5B7D">
              <w:rPr>
                <w:rFonts w:ascii="Arial" w:eastAsia="Times New Roman" w:hAnsi="Arial" w:cs="Arial"/>
                <w:color w:val="833C0B" w:themeColor="accent2" w:themeShade="80"/>
              </w:rPr>
              <w:t xml:space="preserve">provided an 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>overview of actions taken regarding the initial instance identified</w:t>
            </w:r>
          </w:p>
          <w:p w14:paraId="6001A8BC" w14:textId="740236D4" w:rsidR="00611029" w:rsidRPr="00DE50CE" w:rsidRDefault="00906EEC" w:rsidP="0061102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No Pencil Confirmation Review </w:t>
            </w:r>
            <w:r w:rsidR="00031E6F"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Report 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>dated 3 May 2020</w:t>
            </w:r>
          </w:p>
          <w:p w14:paraId="13FE5B0E" w14:textId="6F664833" w:rsidR="00031E6F" w:rsidRPr="00DE50CE" w:rsidRDefault="00031E6F" w:rsidP="0061102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Current training records of six monitors </w:t>
            </w:r>
            <w:r w:rsidR="008F6261"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confirming that the training noted above was completed on the dates </w:t>
            </w:r>
            <w:r w:rsidR="00C505EE" w:rsidRPr="00DE50CE">
              <w:rPr>
                <w:rFonts w:ascii="Arial" w:eastAsia="Times New Roman" w:hAnsi="Arial" w:cs="Arial"/>
                <w:color w:val="833C0B" w:themeColor="accent2" w:themeShade="80"/>
              </w:rPr>
              <w:t>indicated</w:t>
            </w:r>
          </w:p>
          <w:p w14:paraId="78887C9B" w14:textId="1E459B5F" w:rsidR="00C505EE" w:rsidRPr="00DE50CE" w:rsidRDefault="00C505EE" w:rsidP="0061102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>Copies of the monitoring visit reports completed in pencil</w:t>
            </w:r>
          </w:p>
          <w:p w14:paraId="22D43B65" w14:textId="5DB39FF3" w:rsidR="00C505EE" w:rsidRPr="00DE50CE" w:rsidRDefault="00C505EE" w:rsidP="0061102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Documentation that certified copies were made to preserve original </w:t>
            </w:r>
            <w:r w:rsidR="005610E5" w:rsidRPr="00DE50CE">
              <w:rPr>
                <w:rFonts w:ascii="Arial" w:eastAsia="Times New Roman" w:hAnsi="Arial" w:cs="Arial"/>
                <w:color w:val="833C0B" w:themeColor="accent2" w:themeShade="80"/>
              </w:rPr>
              <w:t>hardcopy documentation</w:t>
            </w:r>
          </w:p>
          <w:p w14:paraId="279219E8" w14:textId="21E4B2FF" w:rsidR="00031E6F" w:rsidRPr="00DE50CE" w:rsidRDefault="008F6261" w:rsidP="0061102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>Copies of the six monitoring visit reports that were submitted properly, all showing the date submitted</w:t>
            </w:r>
          </w:p>
          <w:p w14:paraId="387FB25B" w14:textId="6CE4D5A3" w:rsidR="008F6261" w:rsidRPr="00DE50CE" w:rsidRDefault="000E1398" w:rsidP="0061102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ABC Pharma communication to all employees living and/or working in the </w:t>
            </w:r>
            <w:r w:rsidR="001C5B7D">
              <w:rPr>
                <w:rFonts w:ascii="Arial" w:eastAsia="Times New Roman" w:hAnsi="Arial" w:cs="Arial"/>
                <w:color w:val="833C0B" w:themeColor="accent2" w:themeShade="80"/>
              </w:rPr>
              <w:t>s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>tate dated 7 May 2020</w:t>
            </w:r>
          </w:p>
          <w:p w14:paraId="53DEB6C9" w14:textId="51C8BE29" w:rsidR="00B46060" w:rsidRPr="00DE50CE" w:rsidRDefault="00B46060" w:rsidP="0061102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Documentation dated 1 July 2020 confirming that </w:t>
            </w:r>
            <w:r w:rsidR="005E394E"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no 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>monitoring visit reports submitted between 27 April and 1 July 2020</w:t>
            </w:r>
            <w:r w:rsidR="007D7966"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 involved the use of pencil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>.</w:t>
            </w:r>
          </w:p>
          <w:p w14:paraId="38C3FD25" w14:textId="3A2F4236" w:rsidR="00B46060" w:rsidRPr="00DE50CE" w:rsidRDefault="006779F8" w:rsidP="0061102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2020 Annual Disaster Recovery and Business Continuity Plan dated 15 July 2020 </w:t>
            </w:r>
          </w:p>
          <w:p w14:paraId="420BD221" w14:textId="2895EED1" w:rsidR="001F4306" w:rsidRPr="00DE50CE" w:rsidRDefault="001F4306" w:rsidP="0061102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The </w:t>
            </w:r>
            <w:r w:rsidR="00620B8C" w:rsidRPr="00DE50CE">
              <w:rPr>
                <w:rFonts w:ascii="Arial" w:eastAsia="Times New Roman" w:hAnsi="Arial" w:cs="Arial"/>
                <w:color w:val="833C0B" w:themeColor="accent2" w:themeShade="80"/>
              </w:rPr>
              <w:t>“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Can’t Find a Pen </w:t>
            </w:r>
            <w:r w:rsidR="00620B8C"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in the State of Confusion” </w:t>
            </w: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Task Force </w:t>
            </w:r>
            <w:r w:rsidR="00620B8C" w:rsidRPr="00DE50CE">
              <w:rPr>
                <w:rFonts w:ascii="Arial" w:eastAsia="Times New Roman" w:hAnsi="Arial" w:cs="Arial"/>
                <w:color w:val="833C0B" w:themeColor="accent2" w:themeShade="80"/>
              </w:rPr>
              <w:t>Charter</w:t>
            </w:r>
          </w:p>
          <w:p w14:paraId="09907A39" w14:textId="05E207EE" w:rsidR="00AD50E8" w:rsidRPr="00DE50CE" w:rsidRDefault="00620B8C" w:rsidP="0061102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833C0B" w:themeColor="accent2" w:themeShade="80"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Protocol 123 </w:t>
            </w:r>
            <w:r w:rsidR="003E123A" w:rsidRPr="00DE50CE">
              <w:rPr>
                <w:rFonts w:ascii="Arial" w:eastAsia="Times New Roman" w:hAnsi="Arial" w:cs="Arial"/>
                <w:color w:val="833C0B" w:themeColor="accent2" w:themeShade="80"/>
              </w:rPr>
              <w:t>Monitoring Plan</w:t>
            </w:r>
          </w:p>
          <w:p w14:paraId="0F8F6EBD" w14:textId="77777777" w:rsidR="009E5253" w:rsidRPr="00DE50CE" w:rsidRDefault="00901686" w:rsidP="0090168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DE50CE">
              <w:rPr>
                <w:rFonts w:ascii="Arial" w:eastAsia="Times New Roman" w:hAnsi="Arial" w:cs="Arial"/>
                <w:color w:val="833C0B" w:themeColor="accent2" w:themeShade="80"/>
              </w:rPr>
              <w:t xml:space="preserve">Also list all related SOPs or Policies … </w:t>
            </w:r>
          </w:p>
          <w:p w14:paraId="04BE7912" w14:textId="5BC0D3EF" w:rsidR="006F47E5" w:rsidRPr="009E5253" w:rsidRDefault="006F47E5" w:rsidP="006F47E5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1EE2AA26" w14:textId="3512B697" w:rsidR="00CD2C18" w:rsidRDefault="00CD2C18" w:rsidP="00F07D27">
      <w:pPr>
        <w:rPr>
          <w:rFonts w:ascii="Arial" w:hAnsi="Arial" w:cs="Arial"/>
          <w:sz w:val="22"/>
          <w:szCs w:val="22"/>
        </w:rPr>
      </w:pPr>
    </w:p>
    <w:sectPr w:rsidR="00CD2C18" w:rsidSect="008855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ECA7F" w14:textId="77777777" w:rsidR="00AE7DF8" w:rsidRDefault="00AE7DF8" w:rsidP="00BE0D8D">
      <w:r>
        <w:separator/>
      </w:r>
    </w:p>
  </w:endnote>
  <w:endnote w:type="continuationSeparator" w:id="0">
    <w:p w14:paraId="3C4386AA" w14:textId="77777777" w:rsidR="00AE7DF8" w:rsidRDefault="00AE7DF8" w:rsidP="00BE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023ED2" w14:paraId="01007861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CBFE3CF" w14:textId="50C712E2" w:rsidR="00023ED2" w:rsidRDefault="00023ED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8932BB4" w14:textId="77777777" w:rsidR="00023ED2" w:rsidRDefault="00023ED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23ED2" w14:paraId="2D804AE2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A16C881" w14:textId="1E215500" w:rsidR="00023ED2" w:rsidRDefault="00023ED2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716B73C" w14:textId="77777777" w:rsidR="00023ED2" w:rsidRDefault="00023ED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B1F35A0" w14:textId="3598163F" w:rsidR="00023ED2" w:rsidRDefault="00043AE8" w:rsidP="00043AE8">
    <w:pPr>
      <w:pStyle w:val="Footer"/>
      <w:tabs>
        <w:tab w:val="clear" w:pos="4680"/>
        <w:tab w:val="clear" w:pos="9360"/>
        <w:tab w:val="left" w:pos="3975"/>
      </w:tabs>
      <w:jc w:val="center"/>
    </w:pPr>
    <w:r w:rsidRPr="00043AE8">
      <w:t>C</w:t>
    </w:r>
    <w:r>
      <w:t>onfidential Internal Document</w:t>
    </w:r>
  </w:p>
  <w:p w14:paraId="269A3CF7" w14:textId="00360BC2" w:rsidR="008C2234" w:rsidRPr="00391F6F" w:rsidRDefault="008C2234" w:rsidP="00043AE8">
    <w:pPr>
      <w:pStyle w:val="Footer"/>
      <w:tabs>
        <w:tab w:val="clear" w:pos="4680"/>
        <w:tab w:val="clear" w:pos="9360"/>
        <w:tab w:val="left" w:pos="3975"/>
      </w:tabs>
      <w:jc w:val="center"/>
      <w:rPr>
        <w:i/>
        <w:iCs/>
      </w:rPr>
    </w:pPr>
    <w:r w:rsidRPr="00391F6F">
      <w:rPr>
        <w:i/>
        <w:iCs/>
      </w:rPr>
      <w:t>Example Template for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2F54" w14:textId="77777777" w:rsidR="00AE7DF8" w:rsidRDefault="00AE7DF8" w:rsidP="00BE0D8D">
      <w:r>
        <w:separator/>
      </w:r>
    </w:p>
  </w:footnote>
  <w:footnote w:type="continuationSeparator" w:id="0">
    <w:p w14:paraId="659C736A" w14:textId="77777777" w:rsidR="00AE7DF8" w:rsidRDefault="00AE7DF8" w:rsidP="00BE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0C5C" w14:textId="4E018058" w:rsidR="00BA6BA7" w:rsidRDefault="008C22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5999F" wp14:editId="6E7FB074">
          <wp:simplePos x="0" y="0"/>
          <wp:positionH relativeFrom="margin">
            <wp:posOffset>-337792</wp:posOffset>
          </wp:positionH>
          <wp:positionV relativeFrom="paragraph">
            <wp:posOffset>-317693</wp:posOffset>
          </wp:positionV>
          <wp:extent cx="1367155" cy="738505"/>
          <wp:effectExtent l="0" t="0" r="4445" b="444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FFD"/>
    <w:multiLevelType w:val="hybridMultilevel"/>
    <w:tmpl w:val="F416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561"/>
    <w:multiLevelType w:val="hybridMultilevel"/>
    <w:tmpl w:val="DAA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2A9"/>
    <w:multiLevelType w:val="hybridMultilevel"/>
    <w:tmpl w:val="310E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96267"/>
    <w:multiLevelType w:val="hybridMultilevel"/>
    <w:tmpl w:val="7F52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868"/>
    <w:multiLevelType w:val="hybridMultilevel"/>
    <w:tmpl w:val="B0F2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F6B4C"/>
    <w:multiLevelType w:val="hybridMultilevel"/>
    <w:tmpl w:val="5412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468E"/>
    <w:multiLevelType w:val="hybridMultilevel"/>
    <w:tmpl w:val="AEF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47900"/>
    <w:multiLevelType w:val="hybridMultilevel"/>
    <w:tmpl w:val="7A8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6C93"/>
    <w:multiLevelType w:val="hybridMultilevel"/>
    <w:tmpl w:val="02F2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2B7E"/>
    <w:multiLevelType w:val="hybridMultilevel"/>
    <w:tmpl w:val="8080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C3985"/>
    <w:multiLevelType w:val="hybridMultilevel"/>
    <w:tmpl w:val="AF22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A450B"/>
    <w:multiLevelType w:val="hybridMultilevel"/>
    <w:tmpl w:val="F8546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25939"/>
    <w:multiLevelType w:val="hybridMultilevel"/>
    <w:tmpl w:val="A3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23684"/>
    <w:multiLevelType w:val="hybridMultilevel"/>
    <w:tmpl w:val="4912C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A5226"/>
    <w:multiLevelType w:val="hybridMultilevel"/>
    <w:tmpl w:val="A33A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A58E2"/>
    <w:multiLevelType w:val="hybridMultilevel"/>
    <w:tmpl w:val="44F0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370"/>
    <w:multiLevelType w:val="hybridMultilevel"/>
    <w:tmpl w:val="9D1E3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FB68E1"/>
    <w:multiLevelType w:val="hybridMultilevel"/>
    <w:tmpl w:val="7810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17"/>
  </w:num>
  <w:num w:numId="9">
    <w:abstractNumId w:val="8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75"/>
    <w:rsid w:val="00001170"/>
    <w:rsid w:val="00002EAC"/>
    <w:rsid w:val="00003145"/>
    <w:rsid w:val="00007590"/>
    <w:rsid w:val="00014580"/>
    <w:rsid w:val="0002070D"/>
    <w:rsid w:val="00023ED2"/>
    <w:rsid w:val="000316FB"/>
    <w:rsid w:val="00031E6F"/>
    <w:rsid w:val="000324C5"/>
    <w:rsid w:val="00036078"/>
    <w:rsid w:val="00043AE8"/>
    <w:rsid w:val="000445BA"/>
    <w:rsid w:val="00054EAB"/>
    <w:rsid w:val="00057BB0"/>
    <w:rsid w:val="00090CF1"/>
    <w:rsid w:val="000A3640"/>
    <w:rsid w:val="000C55FA"/>
    <w:rsid w:val="000D2F7E"/>
    <w:rsid w:val="000D66F6"/>
    <w:rsid w:val="000E1398"/>
    <w:rsid w:val="000F0DEE"/>
    <w:rsid w:val="001032FA"/>
    <w:rsid w:val="00116870"/>
    <w:rsid w:val="00124FEF"/>
    <w:rsid w:val="00140F71"/>
    <w:rsid w:val="001427B4"/>
    <w:rsid w:val="00162D3A"/>
    <w:rsid w:val="0016394E"/>
    <w:rsid w:val="00171F78"/>
    <w:rsid w:val="001744C8"/>
    <w:rsid w:val="00186233"/>
    <w:rsid w:val="0019124F"/>
    <w:rsid w:val="001A5764"/>
    <w:rsid w:val="001A655D"/>
    <w:rsid w:val="001C5B7D"/>
    <w:rsid w:val="001C6539"/>
    <w:rsid w:val="001E320C"/>
    <w:rsid w:val="001F1667"/>
    <w:rsid w:val="001F4306"/>
    <w:rsid w:val="0021337A"/>
    <w:rsid w:val="00217D6C"/>
    <w:rsid w:val="00234417"/>
    <w:rsid w:val="00236B77"/>
    <w:rsid w:val="00254FBC"/>
    <w:rsid w:val="00261C01"/>
    <w:rsid w:val="00266CB5"/>
    <w:rsid w:val="00271366"/>
    <w:rsid w:val="002843F8"/>
    <w:rsid w:val="00290191"/>
    <w:rsid w:val="002964E9"/>
    <w:rsid w:val="002971A5"/>
    <w:rsid w:val="00297717"/>
    <w:rsid w:val="002A16E8"/>
    <w:rsid w:val="002A35E3"/>
    <w:rsid w:val="002B071D"/>
    <w:rsid w:val="002B709C"/>
    <w:rsid w:val="002C7F4E"/>
    <w:rsid w:val="002D114C"/>
    <w:rsid w:val="002D239C"/>
    <w:rsid w:val="002E048A"/>
    <w:rsid w:val="002E3A6F"/>
    <w:rsid w:val="002E7B39"/>
    <w:rsid w:val="002F3439"/>
    <w:rsid w:val="00302E3E"/>
    <w:rsid w:val="003107B5"/>
    <w:rsid w:val="00320D5B"/>
    <w:rsid w:val="003229F9"/>
    <w:rsid w:val="00325D8A"/>
    <w:rsid w:val="0033552C"/>
    <w:rsid w:val="00342F57"/>
    <w:rsid w:val="00351486"/>
    <w:rsid w:val="00355970"/>
    <w:rsid w:val="00356195"/>
    <w:rsid w:val="0036061F"/>
    <w:rsid w:val="0038073E"/>
    <w:rsid w:val="00381C08"/>
    <w:rsid w:val="00391F6F"/>
    <w:rsid w:val="00393C12"/>
    <w:rsid w:val="003C516C"/>
    <w:rsid w:val="003E123A"/>
    <w:rsid w:val="003F024D"/>
    <w:rsid w:val="003F2828"/>
    <w:rsid w:val="00402A5A"/>
    <w:rsid w:val="00405191"/>
    <w:rsid w:val="00407BA9"/>
    <w:rsid w:val="00407D2E"/>
    <w:rsid w:val="00410A1C"/>
    <w:rsid w:val="00410D94"/>
    <w:rsid w:val="00421024"/>
    <w:rsid w:val="0042348A"/>
    <w:rsid w:val="00427104"/>
    <w:rsid w:val="00435E8E"/>
    <w:rsid w:val="00441312"/>
    <w:rsid w:val="004472FB"/>
    <w:rsid w:val="00456F9E"/>
    <w:rsid w:val="004602CC"/>
    <w:rsid w:val="004668B6"/>
    <w:rsid w:val="00466ECA"/>
    <w:rsid w:val="0047353C"/>
    <w:rsid w:val="004833A1"/>
    <w:rsid w:val="004937AA"/>
    <w:rsid w:val="004A7077"/>
    <w:rsid w:val="004B1304"/>
    <w:rsid w:val="004D6D4E"/>
    <w:rsid w:val="004D79F6"/>
    <w:rsid w:val="004E3494"/>
    <w:rsid w:val="004F0BC2"/>
    <w:rsid w:val="004F2316"/>
    <w:rsid w:val="005015EF"/>
    <w:rsid w:val="00507252"/>
    <w:rsid w:val="00514A5B"/>
    <w:rsid w:val="00521874"/>
    <w:rsid w:val="0052497C"/>
    <w:rsid w:val="0053417F"/>
    <w:rsid w:val="005356F5"/>
    <w:rsid w:val="00554077"/>
    <w:rsid w:val="00556E2A"/>
    <w:rsid w:val="00557515"/>
    <w:rsid w:val="005610E5"/>
    <w:rsid w:val="00566841"/>
    <w:rsid w:val="0056687A"/>
    <w:rsid w:val="005826EA"/>
    <w:rsid w:val="00583CD9"/>
    <w:rsid w:val="005A32DB"/>
    <w:rsid w:val="005B4CC5"/>
    <w:rsid w:val="005C1408"/>
    <w:rsid w:val="005C6EE3"/>
    <w:rsid w:val="005D5D9B"/>
    <w:rsid w:val="005D635D"/>
    <w:rsid w:val="005E394E"/>
    <w:rsid w:val="005F0B45"/>
    <w:rsid w:val="005F2961"/>
    <w:rsid w:val="00602FD7"/>
    <w:rsid w:val="00610411"/>
    <w:rsid w:val="00610CF0"/>
    <w:rsid w:val="00611029"/>
    <w:rsid w:val="00620B8C"/>
    <w:rsid w:val="006246A5"/>
    <w:rsid w:val="00632994"/>
    <w:rsid w:val="00634335"/>
    <w:rsid w:val="0063477D"/>
    <w:rsid w:val="00634C03"/>
    <w:rsid w:val="00651BA9"/>
    <w:rsid w:val="006535E8"/>
    <w:rsid w:val="00655B95"/>
    <w:rsid w:val="00662CC1"/>
    <w:rsid w:val="00675F4D"/>
    <w:rsid w:val="006779F8"/>
    <w:rsid w:val="006973DB"/>
    <w:rsid w:val="006A61C8"/>
    <w:rsid w:val="006A6ACA"/>
    <w:rsid w:val="006C1ADD"/>
    <w:rsid w:val="006E17A7"/>
    <w:rsid w:val="006E6FD1"/>
    <w:rsid w:val="006F47E5"/>
    <w:rsid w:val="006F6D8F"/>
    <w:rsid w:val="00710175"/>
    <w:rsid w:val="007246C9"/>
    <w:rsid w:val="00737B94"/>
    <w:rsid w:val="00746651"/>
    <w:rsid w:val="00752F59"/>
    <w:rsid w:val="007609F2"/>
    <w:rsid w:val="00771CBA"/>
    <w:rsid w:val="00783426"/>
    <w:rsid w:val="00790BE7"/>
    <w:rsid w:val="007A3B10"/>
    <w:rsid w:val="007A5975"/>
    <w:rsid w:val="007A5AE1"/>
    <w:rsid w:val="007C6A1A"/>
    <w:rsid w:val="007D4068"/>
    <w:rsid w:val="007D4FEE"/>
    <w:rsid w:val="007D6000"/>
    <w:rsid w:val="007D6E26"/>
    <w:rsid w:val="007D7966"/>
    <w:rsid w:val="00805C25"/>
    <w:rsid w:val="0080688E"/>
    <w:rsid w:val="0080759E"/>
    <w:rsid w:val="00807742"/>
    <w:rsid w:val="00823382"/>
    <w:rsid w:val="00835E9E"/>
    <w:rsid w:val="0084598C"/>
    <w:rsid w:val="0086305E"/>
    <w:rsid w:val="00865C42"/>
    <w:rsid w:val="00882CEF"/>
    <w:rsid w:val="008855BC"/>
    <w:rsid w:val="008900C0"/>
    <w:rsid w:val="008929B9"/>
    <w:rsid w:val="0089311B"/>
    <w:rsid w:val="00893AB4"/>
    <w:rsid w:val="00896F6D"/>
    <w:rsid w:val="008C1410"/>
    <w:rsid w:val="008C2234"/>
    <w:rsid w:val="008C6875"/>
    <w:rsid w:val="008C7267"/>
    <w:rsid w:val="008D54F1"/>
    <w:rsid w:val="008D5BF3"/>
    <w:rsid w:val="008E277A"/>
    <w:rsid w:val="008E3193"/>
    <w:rsid w:val="008F0B4A"/>
    <w:rsid w:val="008F6261"/>
    <w:rsid w:val="008F7CE0"/>
    <w:rsid w:val="00901686"/>
    <w:rsid w:val="00901849"/>
    <w:rsid w:val="0090545D"/>
    <w:rsid w:val="00906EEC"/>
    <w:rsid w:val="00924E71"/>
    <w:rsid w:val="009403B4"/>
    <w:rsid w:val="0097650C"/>
    <w:rsid w:val="00981017"/>
    <w:rsid w:val="009A000F"/>
    <w:rsid w:val="009C6C64"/>
    <w:rsid w:val="009E5253"/>
    <w:rsid w:val="00A02804"/>
    <w:rsid w:val="00A03961"/>
    <w:rsid w:val="00A12A84"/>
    <w:rsid w:val="00A13194"/>
    <w:rsid w:val="00A31618"/>
    <w:rsid w:val="00A341C7"/>
    <w:rsid w:val="00A44EB1"/>
    <w:rsid w:val="00A50C8A"/>
    <w:rsid w:val="00A54E1E"/>
    <w:rsid w:val="00A84EEF"/>
    <w:rsid w:val="00A87785"/>
    <w:rsid w:val="00A93B0E"/>
    <w:rsid w:val="00AB253A"/>
    <w:rsid w:val="00AB6AF7"/>
    <w:rsid w:val="00AC5909"/>
    <w:rsid w:val="00AD50E8"/>
    <w:rsid w:val="00AE3A5D"/>
    <w:rsid w:val="00AE7DF8"/>
    <w:rsid w:val="00AF45DF"/>
    <w:rsid w:val="00AF4DC8"/>
    <w:rsid w:val="00B06A2A"/>
    <w:rsid w:val="00B12A43"/>
    <w:rsid w:val="00B27179"/>
    <w:rsid w:val="00B34CA7"/>
    <w:rsid w:val="00B46060"/>
    <w:rsid w:val="00B513B3"/>
    <w:rsid w:val="00B51C4E"/>
    <w:rsid w:val="00B54ABD"/>
    <w:rsid w:val="00B72972"/>
    <w:rsid w:val="00B7788F"/>
    <w:rsid w:val="00B800C0"/>
    <w:rsid w:val="00B87AEC"/>
    <w:rsid w:val="00BA4336"/>
    <w:rsid w:val="00BA6BA7"/>
    <w:rsid w:val="00BA72E7"/>
    <w:rsid w:val="00BD2661"/>
    <w:rsid w:val="00BD795D"/>
    <w:rsid w:val="00BE0D8D"/>
    <w:rsid w:val="00C1380C"/>
    <w:rsid w:val="00C13827"/>
    <w:rsid w:val="00C31F2E"/>
    <w:rsid w:val="00C3549D"/>
    <w:rsid w:val="00C42D42"/>
    <w:rsid w:val="00C43911"/>
    <w:rsid w:val="00C43CA5"/>
    <w:rsid w:val="00C505EE"/>
    <w:rsid w:val="00C52F53"/>
    <w:rsid w:val="00C543F8"/>
    <w:rsid w:val="00C550ED"/>
    <w:rsid w:val="00C96ACB"/>
    <w:rsid w:val="00CA047A"/>
    <w:rsid w:val="00CA116A"/>
    <w:rsid w:val="00CA2A89"/>
    <w:rsid w:val="00CA2BB3"/>
    <w:rsid w:val="00CB44F7"/>
    <w:rsid w:val="00CB69C6"/>
    <w:rsid w:val="00CB6FE3"/>
    <w:rsid w:val="00CB71D0"/>
    <w:rsid w:val="00CD2C18"/>
    <w:rsid w:val="00D12648"/>
    <w:rsid w:val="00D16535"/>
    <w:rsid w:val="00D21F07"/>
    <w:rsid w:val="00D3207D"/>
    <w:rsid w:val="00D36960"/>
    <w:rsid w:val="00D46404"/>
    <w:rsid w:val="00D51EC5"/>
    <w:rsid w:val="00D521CD"/>
    <w:rsid w:val="00D6662E"/>
    <w:rsid w:val="00D66EC1"/>
    <w:rsid w:val="00D709A7"/>
    <w:rsid w:val="00D822DA"/>
    <w:rsid w:val="00D845D5"/>
    <w:rsid w:val="00D85D8D"/>
    <w:rsid w:val="00D9430E"/>
    <w:rsid w:val="00DC60D8"/>
    <w:rsid w:val="00DC7589"/>
    <w:rsid w:val="00DD5617"/>
    <w:rsid w:val="00DE0A4F"/>
    <w:rsid w:val="00DE3D24"/>
    <w:rsid w:val="00DE50CE"/>
    <w:rsid w:val="00DF4F03"/>
    <w:rsid w:val="00E05076"/>
    <w:rsid w:val="00E05604"/>
    <w:rsid w:val="00E61EA2"/>
    <w:rsid w:val="00E8612D"/>
    <w:rsid w:val="00E921DC"/>
    <w:rsid w:val="00EA375D"/>
    <w:rsid w:val="00EC0B74"/>
    <w:rsid w:val="00EC7F38"/>
    <w:rsid w:val="00ED0497"/>
    <w:rsid w:val="00ED4510"/>
    <w:rsid w:val="00ED657E"/>
    <w:rsid w:val="00EF2A82"/>
    <w:rsid w:val="00F01F40"/>
    <w:rsid w:val="00F07D27"/>
    <w:rsid w:val="00F10A42"/>
    <w:rsid w:val="00F43E8A"/>
    <w:rsid w:val="00F52B69"/>
    <w:rsid w:val="00F76E6F"/>
    <w:rsid w:val="00F97F32"/>
    <w:rsid w:val="00FC7870"/>
    <w:rsid w:val="00FD2386"/>
    <w:rsid w:val="00FD598A"/>
    <w:rsid w:val="00FE0601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509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D8D"/>
  </w:style>
  <w:style w:type="paragraph" w:styleId="Footer">
    <w:name w:val="footer"/>
    <w:basedOn w:val="Normal"/>
    <w:link w:val="FooterChar"/>
    <w:uiPriority w:val="99"/>
    <w:unhideWhenUsed/>
    <w:rsid w:val="00BE0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D8D"/>
  </w:style>
  <w:style w:type="table" w:styleId="TableGrid">
    <w:name w:val="Table Grid"/>
    <w:basedOn w:val="TableNormal"/>
    <w:uiPriority w:val="59"/>
    <w:rsid w:val="0071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B3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1744C8"/>
  </w:style>
  <w:style w:type="character" w:styleId="CommentReference">
    <w:name w:val="annotation reference"/>
    <w:basedOn w:val="DefaultParagraphFont"/>
    <w:uiPriority w:val="99"/>
    <w:semiHidden/>
    <w:unhideWhenUsed/>
    <w:rsid w:val="002D11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1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1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1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4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4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2020-08-24T19:15:00Z</dcterms:created>
  <dcterms:modified xsi:type="dcterms:W3CDTF">2020-08-25T12:00:00Z</dcterms:modified>
  <cp:category/>
</cp:coreProperties>
</file>